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tabs>
          <w:tab w:val="right" w:leader="dot" w:pos="9922"/>
          <w:tab w:val="clear" w:pos="9912"/>
        </w:tabs>
        <w:jc w:val="center"/>
        <w:rPr>
          <w:rFonts w:hint="default" w:eastAsiaTheme="minorEastAsia"/>
          <w:sz w:val="28"/>
          <w:szCs w:val="28"/>
          <w:lang w:val="en-US" w:eastAsia="zh-CN"/>
        </w:rPr>
      </w:pPr>
      <w:bookmarkStart w:id="0" w:name="_Toc14058"/>
      <w:r>
        <w:rPr>
          <w:rFonts w:hint="eastAsia"/>
          <w:sz w:val="28"/>
          <w:szCs w:val="28"/>
          <w:lang w:val="en-US" w:eastAsia="zh-CN"/>
        </w:rPr>
        <w:t>目录</w:t>
      </w:r>
    </w:p>
    <w:p>
      <w:pPr>
        <w:pStyle w:val="8"/>
        <w:tabs>
          <w:tab w:val="right" w:leader="dot" w:pos="9922"/>
          <w:tab w:val="clear" w:pos="9912"/>
        </w:tabs>
        <w:rPr>
          <w:b/>
          <w:bCs/>
          <w:sz w:val="28"/>
          <w:szCs w:val="28"/>
        </w:rPr>
      </w:pPr>
      <w:r>
        <w:rPr>
          <w:rFonts w:hint="eastAsia"/>
          <w:sz w:val="21"/>
          <w:szCs w:val="21"/>
        </w:rPr>
        <w:fldChar w:fldCharType="begin"/>
      </w:r>
      <w:r>
        <w:rPr>
          <w:rFonts w:hint="eastAsia"/>
          <w:sz w:val="21"/>
          <w:szCs w:val="21"/>
        </w:rPr>
        <w:instrText xml:space="preserve">TOC \o "1-1" \h \u </w:instrText>
      </w:r>
      <w:r>
        <w:rPr>
          <w:rFonts w:hint="eastAsia"/>
          <w:sz w:val="21"/>
          <w:szCs w:val="21"/>
        </w:rPr>
        <w:fldChar w:fldCharType="separate"/>
      </w:r>
      <w:r>
        <w:rPr>
          <w:rFonts w:hint="eastAsia"/>
          <w:b/>
          <w:bCs/>
          <w:sz w:val="28"/>
          <w:szCs w:val="28"/>
        </w:rPr>
        <w:fldChar w:fldCharType="begin"/>
      </w:r>
      <w:r>
        <w:rPr>
          <w:rFonts w:hint="eastAsia"/>
          <w:b/>
          <w:bCs/>
          <w:sz w:val="28"/>
          <w:szCs w:val="28"/>
        </w:rPr>
        <w:instrText xml:space="preserve"> HYPERLINK \l _Toc21361 </w:instrText>
      </w:r>
      <w:r>
        <w:rPr>
          <w:rFonts w:hint="eastAsia"/>
          <w:b/>
          <w:bCs/>
          <w:sz w:val="28"/>
          <w:szCs w:val="28"/>
        </w:rPr>
        <w:fldChar w:fldCharType="separate"/>
      </w:r>
      <w:r>
        <w:rPr>
          <w:rFonts w:hint="eastAsia" w:asciiTheme="minorEastAsia" w:hAnsiTheme="minorEastAsia" w:eastAsiaTheme="minorEastAsia" w:cstheme="minorEastAsia"/>
          <w:b/>
          <w:bCs/>
          <w:sz w:val="28"/>
          <w:szCs w:val="28"/>
          <w:lang w:val="en-US" w:eastAsia="zh-CN"/>
        </w:rPr>
        <w:t>1 资产</w:t>
      </w:r>
      <w:r>
        <w:rPr>
          <w:rFonts w:hint="eastAsia" w:asciiTheme="minorEastAsia" w:hAnsiTheme="minorEastAsia" w:cstheme="minorEastAsia"/>
          <w:b/>
          <w:bCs/>
          <w:sz w:val="28"/>
          <w:szCs w:val="28"/>
          <w:lang w:val="en-US" w:eastAsia="zh-CN"/>
        </w:rPr>
        <w:t>、</w:t>
      </w:r>
      <w:r>
        <w:rPr>
          <w:rFonts w:hint="eastAsia" w:asciiTheme="minorEastAsia" w:hAnsiTheme="minorEastAsia" w:eastAsiaTheme="minorEastAsia" w:cstheme="minorEastAsia"/>
          <w:b/>
          <w:bCs/>
          <w:sz w:val="28"/>
          <w:szCs w:val="28"/>
          <w:lang w:val="en-US" w:eastAsia="zh-CN"/>
        </w:rPr>
        <w:t>负债</w:t>
      </w:r>
      <w:r>
        <w:rPr>
          <w:rFonts w:hint="eastAsia" w:asciiTheme="minorEastAsia" w:hAnsiTheme="minorEastAsia" w:cstheme="minorEastAsia"/>
          <w:b/>
          <w:bCs/>
          <w:sz w:val="28"/>
          <w:szCs w:val="28"/>
          <w:lang w:val="en-US" w:eastAsia="zh-CN"/>
        </w:rPr>
        <w:t>及权益</w:t>
      </w:r>
      <w:r>
        <w:rPr>
          <w:rFonts w:hint="eastAsia" w:asciiTheme="minorEastAsia" w:hAnsiTheme="minorEastAsia" w:eastAsiaTheme="minorEastAsia" w:cstheme="minorEastAsia"/>
          <w:b/>
          <w:bCs/>
          <w:sz w:val="28"/>
          <w:szCs w:val="28"/>
          <w:lang w:val="en-US" w:eastAsia="zh-CN"/>
        </w:rPr>
        <w:t>类问题</w:t>
      </w:r>
      <w:r>
        <w:rPr>
          <w:b/>
          <w:bCs/>
          <w:sz w:val="28"/>
          <w:szCs w:val="28"/>
        </w:rPr>
        <w:tab/>
      </w:r>
      <w:r>
        <w:rPr>
          <w:b/>
          <w:bCs/>
          <w:sz w:val="28"/>
          <w:szCs w:val="28"/>
        </w:rPr>
        <w:fldChar w:fldCharType="begin"/>
      </w:r>
      <w:r>
        <w:rPr>
          <w:b/>
          <w:bCs/>
          <w:sz w:val="28"/>
          <w:szCs w:val="28"/>
        </w:rPr>
        <w:instrText xml:space="preserve"> PAGEREF _Toc21361 \h </w:instrText>
      </w:r>
      <w:r>
        <w:rPr>
          <w:b/>
          <w:bCs/>
          <w:sz w:val="28"/>
          <w:szCs w:val="28"/>
        </w:rPr>
        <w:fldChar w:fldCharType="separate"/>
      </w:r>
      <w:r>
        <w:rPr>
          <w:b/>
          <w:bCs/>
          <w:sz w:val="28"/>
          <w:szCs w:val="28"/>
        </w:rPr>
        <w:t>4</w:t>
      </w:r>
      <w:r>
        <w:rPr>
          <w:b/>
          <w:bCs/>
          <w:sz w:val="28"/>
          <w:szCs w:val="28"/>
        </w:rPr>
        <w:fldChar w:fldCharType="end"/>
      </w:r>
      <w:r>
        <w:rPr>
          <w:rFonts w:hint="eastAsia"/>
          <w:b/>
          <w:bCs/>
          <w:sz w:val="28"/>
          <w:szCs w:val="28"/>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_Toc302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1 </w:t>
      </w:r>
      <w:r>
        <w:rPr>
          <w:rFonts w:hint="eastAsia" w:asciiTheme="minorEastAsia" w:hAnsiTheme="minorEastAsia" w:eastAsiaTheme="minorEastAsia" w:cstheme="minorEastAsia"/>
          <w:szCs w:val="21"/>
        </w:rPr>
        <w:t>购入一辆车，做固定资产卡片的时候，原值部分包含哪些</w:t>
      </w:r>
      <w:r>
        <w:tab/>
      </w:r>
      <w:r>
        <w:fldChar w:fldCharType="begin"/>
      </w:r>
      <w:r>
        <w:instrText xml:space="preserve"> PAGEREF _Toc302 \h </w:instrText>
      </w:r>
      <w:r>
        <w:fldChar w:fldCharType="separate"/>
      </w:r>
      <w:r>
        <w:t>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_Toc23130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2 </w:t>
      </w:r>
      <w:r>
        <w:rPr>
          <w:rFonts w:hint="eastAsia" w:asciiTheme="minorEastAsia" w:hAnsiTheme="minorEastAsia" w:eastAsiaTheme="minorEastAsia" w:cstheme="minorEastAsia"/>
          <w:szCs w:val="21"/>
        </w:rPr>
        <w:t>T公司收购公司，收购B公司时约定，收购时B公司账面的应收款在以后收到时应支付给B公司的前股东，账务处理应如何？</w:t>
      </w:r>
      <w:r>
        <w:tab/>
      </w:r>
      <w:r>
        <w:fldChar w:fldCharType="begin"/>
      </w:r>
      <w:r>
        <w:instrText xml:space="preserve"> PAGEREF _Toc23130 \h </w:instrText>
      </w:r>
      <w:r>
        <w:fldChar w:fldCharType="separate"/>
      </w:r>
      <w:r>
        <w:t>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_Toc19553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3 </w:t>
      </w:r>
      <w:r>
        <w:rPr>
          <w:rFonts w:hint="eastAsia" w:asciiTheme="minorEastAsia" w:hAnsiTheme="minorEastAsia" w:eastAsiaTheme="minorEastAsia" w:cstheme="minorEastAsia"/>
          <w:szCs w:val="21"/>
        </w:rPr>
        <w:t>如果收到工伤退款，可以直接冲减成本吗？还是要通过应付职工薪酬核算？</w:t>
      </w:r>
      <w:r>
        <w:tab/>
      </w:r>
      <w:r>
        <w:fldChar w:fldCharType="begin"/>
      </w:r>
      <w:r>
        <w:instrText xml:space="preserve"> PAGEREF _Toc19553 \h </w:instrText>
      </w:r>
      <w:r>
        <w:fldChar w:fldCharType="separate"/>
      </w:r>
      <w:r>
        <w:t>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_Toc20376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4 </w:t>
      </w:r>
      <w:r>
        <w:rPr>
          <w:rFonts w:hint="eastAsia" w:asciiTheme="minorEastAsia" w:hAnsiTheme="minorEastAsia" w:eastAsiaTheme="minorEastAsia" w:cstheme="minorEastAsia"/>
          <w:szCs w:val="21"/>
        </w:rPr>
        <w:t>酬金制项目，其共管银行账户挂在了机关账套。如果共管账户的资金转移到机关自身的银行账户，账务应作啥处理？</w:t>
      </w:r>
      <w:r>
        <w:tab/>
      </w:r>
      <w:r>
        <w:fldChar w:fldCharType="begin"/>
      </w:r>
      <w:r>
        <w:instrText xml:space="preserve"> PAGEREF _Toc20376 \h </w:instrText>
      </w:r>
      <w:r>
        <w:fldChar w:fldCharType="separate"/>
      </w:r>
      <w:r>
        <w:t>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_Toc1086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5 </w:t>
      </w:r>
      <w:r>
        <w:rPr>
          <w:rFonts w:hint="eastAsia" w:asciiTheme="minorEastAsia" w:hAnsiTheme="minorEastAsia" w:eastAsiaTheme="minorEastAsia" w:cstheme="minorEastAsia"/>
          <w:szCs w:val="21"/>
        </w:rPr>
        <w:t>机关收到了社保局退回的生育津贴，有一部分支付给了员工，另外有一部分没有给，对于收到的金额入哪个科目？</w:t>
      </w:r>
      <w:r>
        <w:tab/>
      </w:r>
      <w:r>
        <w:fldChar w:fldCharType="begin"/>
      </w:r>
      <w:r>
        <w:instrText xml:space="preserve"> PAGEREF _Toc1086 \h </w:instrText>
      </w:r>
      <w:r>
        <w:fldChar w:fldCharType="separate"/>
      </w:r>
      <w:r>
        <w:t>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_Toc3294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6 </w:t>
      </w:r>
      <w:r>
        <w:rPr>
          <w:rFonts w:hint="eastAsia" w:asciiTheme="minorEastAsia" w:hAnsiTheme="minorEastAsia" w:eastAsiaTheme="minorEastAsia" w:cstheme="minorEastAsia"/>
          <w:szCs w:val="21"/>
        </w:rPr>
        <w:t>机关代支付水电费，项目费用报销单跨月才审批下来，如何做账务处理？</w:t>
      </w:r>
      <w:r>
        <w:tab/>
      </w:r>
      <w:r>
        <w:fldChar w:fldCharType="begin"/>
      </w:r>
      <w:r>
        <w:instrText xml:space="preserve"> PAGEREF _Toc3294 \h </w:instrText>
      </w:r>
      <w:r>
        <w:fldChar w:fldCharType="separate"/>
      </w:r>
      <w:r>
        <w:t>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_Toc6900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7 </w:t>
      </w:r>
      <w:r>
        <w:rPr>
          <w:rFonts w:hint="eastAsia" w:asciiTheme="minorEastAsia" w:hAnsiTheme="minorEastAsia" w:eastAsiaTheme="minorEastAsia" w:cstheme="minorEastAsia"/>
          <w:szCs w:val="21"/>
        </w:rPr>
        <w:t>长期待摊费用入账金额是按工程总金额还是按收到的发票金额？</w:t>
      </w:r>
      <w:r>
        <w:tab/>
      </w:r>
      <w:r>
        <w:fldChar w:fldCharType="begin"/>
      </w:r>
      <w:r>
        <w:instrText xml:space="preserve"> PAGEREF _Toc6900 \h </w:instrText>
      </w:r>
      <w:r>
        <w:fldChar w:fldCharType="separate"/>
      </w:r>
      <w:r>
        <w:t>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_Toc26047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8 </w:t>
      </w:r>
      <w:r>
        <w:rPr>
          <w:rFonts w:hint="eastAsia" w:asciiTheme="minorEastAsia" w:hAnsiTheme="minorEastAsia" w:eastAsiaTheme="minorEastAsia" w:cstheme="minorEastAsia"/>
          <w:szCs w:val="21"/>
        </w:rPr>
        <w:t>无形资产在没有达到预定可使用状态之前是放在其他非流动资产先进行核算的吗？为什么不是放在研发支出-资本化支出核算呢</w:t>
      </w:r>
      <w:r>
        <w:tab/>
      </w:r>
      <w:r>
        <w:fldChar w:fldCharType="begin"/>
      </w:r>
      <w:r>
        <w:instrText xml:space="preserve"> PAGEREF _Toc26047 \h </w:instrText>
      </w:r>
      <w:r>
        <w:fldChar w:fldCharType="separate"/>
      </w:r>
      <w:r>
        <w:t>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_Toc8041 </w:instrText>
      </w:r>
      <w:r>
        <w:rPr>
          <w:rFonts w:hint="eastAsia"/>
          <w:szCs w:val="21"/>
        </w:rPr>
        <w:fldChar w:fldCharType="separate"/>
      </w: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9 </w:t>
      </w:r>
      <w:r>
        <w:rPr>
          <w:rFonts w:hint="eastAsia" w:asciiTheme="minorEastAsia" w:hAnsiTheme="minorEastAsia" w:eastAsiaTheme="minorEastAsia" w:cstheme="minorEastAsia"/>
          <w:szCs w:val="21"/>
        </w:rPr>
        <w:t>集团收购外部公司后，该公司账面应收账款一并平移到EAS（该公司对应新建的）账套，该应收账款有一部分是无法收回的，对于该应收款要如何处理？</w:t>
      </w:r>
      <w:r>
        <w:tab/>
      </w:r>
      <w:r>
        <w:fldChar w:fldCharType="begin"/>
      </w:r>
      <w:r>
        <w:instrText xml:space="preserve"> PAGEREF _Toc8041 \h </w:instrText>
      </w:r>
      <w:r>
        <w:fldChar w:fldCharType="separate"/>
      </w:r>
      <w:r>
        <w:t>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_Toc30909 </w:instrText>
      </w:r>
      <w:r>
        <w:rPr>
          <w:rFonts w:hint="eastAsia"/>
          <w:szCs w:val="21"/>
        </w:rPr>
        <w:fldChar w:fldCharType="separate"/>
      </w:r>
      <w:r>
        <w:rPr>
          <w:rFonts w:hint="eastAsia" w:asciiTheme="minorEastAsia" w:hAnsiTheme="minorEastAsia" w:cstheme="minorEastAsia"/>
          <w:bCs/>
          <w:szCs w:val="21"/>
          <w:lang w:val="en-US" w:eastAsia="zh-CN"/>
        </w:rPr>
        <w:t>1.10 收费云收费项目“空置物业费”的预收会计科目没有设置对应的预收账款科目，系统实收的属于以后期间的款账推出了应收账款科目，如何处理？</w:t>
      </w:r>
      <w:r>
        <w:tab/>
      </w:r>
      <w:r>
        <w:fldChar w:fldCharType="begin"/>
      </w:r>
      <w:r>
        <w:instrText xml:space="preserve"> PAGEREF _Toc30909 \h </w:instrText>
      </w:r>
      <w:r>
        <w:fldChar w:fldCharType="separate"/>
      </w:r>
      <w:r>
        <w:t>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_Toc7294 </w:instrText>
      </w:r>
      <w:r>
        <w:rPr>
          <w:rFonts w:hint="eastAsia"/>
          <w:szCs w:val="21"/>
        </w:rPr>
        <w:fldChar w:fldCharType="separate"/>
      </w:r>
      <w:r>
        <w:rPr>
          <w:rFonts w:hint="eastAsia" w:asciiTheme="minorEastAsia" w:hAnsiTheme="minorEastAsia" w:cstheme="minorEastAsia"/>
          <w:bCs/>
          <w:szCs w:val="21"/>
          <w:lang w:val="en-US" w:eastAsia="zh-CN"/>
        </w:rPr>
        <w:t>1.11 报销金额在2000元以下的长期使用的物品和工器具是否能作为固定资产入账？</w:t>
      </w:r>
      <w:r>
        <w:tab/>
      </w:r>
      <w:r>
        <w:fldChar w:fldCharType="begin"/>
      </w:r>
      <w:r>
        <w:instrText xml:space="preserve"> PAGEREF _Toc7294 \h </w:instrText>
      </w:r>
      <w:r>
        <w:fldChar w:fldCharType="separate"/>
      </w:r>
      <w:r>
        <w:t>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_Toc6642 </w:instrText>
      </w:r>
      <w:r>
        <w:rPr>
          <w:rFonts w:hint="eastAsia"/>
          <w:szCs w:val="21"/>
        </w:rPr>
        <w:fldChar w:fldCharType="separate"/>
      </w:r>
      <w:r>
        <w:rPr>
          <w:rFonts w:hint="eastAsia" w:asciiTheme="minorEastAsia" w:hAnsiTheme="minorEastAsia" w:cstheme="minorEastAsia"/>
          <w:bCs/>
          <w:szCs w:val="21"/>
          <w:lang w:val="en-US" w:eastAsia="zh-CN"/>
        </w:rPr>
        <w:t>1.12 物业项目开展招标活动收到服务供应商的投标保证金押金如何入账？</w:t>
      </w:r>
      <w:r>
        <w:tab/>
      </w:r>
      <w:r>
        <w:fldChar w:fldCharType="begin"/>
      </w:r>
      <w:r>
        <w:instrText xml:space="preserve"> PAGEREF _Toc6642 \h </w:instrText>
      </w:r>
      <w:r>
        <w:fldChar w:fldCharType="separate"/>
      </w:r>
      <w:r>
        <w:t>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_Toc16285 </w:instrText>
      </w:r>
      <w:r>
        <w:rPr>
          <w:rFonts w:hint="eastAsia"/>
          <w:szCs w:val="21"/>
        </w:rPr>
        <w:fldChar w:fldCharType="separate"/>
      </w:r>
      <w:r>
        <w:rPr>
          <w:rFonts w:hint="eastAsia" w:asciiTheme="minorEastAsia" w:hAnsiTheme="minorEastAsia" w:cstheme="minorEastAsia"/>
          <w:bCs/>
          <w:szCs w:val="21"/>
          <w:lang w:val="en-US" w:eastAsia="zh-CN"/>
        </w:rPr>
        <w:t>1.13 “2241.01.24其他应付款-物业管理--代甲方代收代付款项”科目使用注意事项</w:t>
      </w:r>
      <w:r>
        <w:tab/>
      </w:r>
      <w:r>
        <w:fldChar w:fldCharType="begin"/>
      </w:r>
      <w:r>
        <w:instrText xml:space="preserve"> PAGEREF _Toc16285 \h </w:instrText>
      </w:r>
      <w:r>
        <w:fldChar w:fldCharType="separate"/>
      </w:r>
      <w:r>
        <w:t>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_Toc11256 </w:instrText>
      </w:r>
      <w:r>
        <w:rPr>
          <w:rFonts w:hint="eastAsia"/>
          <w:szCs w:val="21"/>
        </w:rPr>
        <w:fldChar w:fldCharType="separate"/>
      </w:r>
      <w:r>
        <w:rPr>
          <w:rFonts w:hint="eastAsia" w:asciiTheme="minorEastAsia" w:hAnsiTheme="minorEastAsia" w:cstheme="minorEastAsia"/>
          <w:bCs/>
          <w:szCs w:val="21"/>
          <w:lang w:val="en-US" w:eastAsia="zh-CN"/>
        </w:rPr>
        <w:t>1.14 业委会经费、业主合同专项支出的业务审核要点</w:t>
      </w:r>
      <w:r>
        <w:tab/>
      </w:r>
      <w:r>
        <w:fldChar w:fldCharType="begin"/>
      </w:r>
      <w:r>
        <w:instrText xml:space="preserve"> PAGEREF _Toc11256 \h </w:instrText>
      </w:r>
      <w:r>
        <w:fldChar w:fldCharType="separate"/>
      </w:r>
      <w:r>
        <w:t>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_Toc26757 </w:instrText>
      </w:r>
      <w:r>
        <w:rPr>
          <w:rFonts w:hint="eastAsia"/>
          <w:szCs w:val="21"/>
        </w:rPr>
        <w:fldChar w:fldCharType="separate"/>
      </w:r>
      <w:r>
        <w:rPr>
          <w:rFonts w:hint="eastAsia" w:asciiTheme="minorEastAsia" w:hAnsiTheme="minorEastAsia" w:cstheme="minorEastAsia"/>
          <w:bCs/>
          <w:szCs w:val="21"/>
          <w:lang w:val="en-US" w:eastAsia="zh-CN"/>
        </w:rPr>
        <w:t>1.15 个税汇算清缴返还到公司账户再支付给员工的账务处理</w:t>
      </w:r>
      <w:r>
        <w:tab/>
      </w:r>
      <w:r>
        <w:fldChar w:fldCharType="begin"/>
      </w:r>
      <w:r>
        <w:instrText xml:space="preserve"> PAGEREF _Toc26757 \h </w:instrText>
      </w:r>
      <w:r>
        <w:fldChar w:fldCharType="separate"/>
      </w:r>
      <w:r>
        <w:t>10</w:t>
      </w:r>
      <w:r>
        <w:fldChar w:fldCharType="end"/>
      </w:r>
      <w:r>
        <w:rPr>
          <w:rFonts w:hint="eastAsia"/>
          <w:szCs w:val="21"/>
        </w:rPr>
        <w:fldChar w:fldCharType="end"/>
      </w:r>
    </w:p>
    <w:p>
      <w:pPr>
        <w:pStyle w:val="8"/>
        <w:tabs>
          <w:tab w:val="right" w:leader="dot" w:pos="9922"/>
          <w:tab w:val="clear" w:pos="9912"/>
        </w:tabs>
        <w:rPr>
          <w:b/>
          <w:bCs/>
          <w:sz w:val="28"/>
          <w:szCs w:val="28"/>
        </w:rPr>
      </w:pPr>
      <w:r>
        <w:rPr>
          <w:rFonts w:hint="eastAsia"/>
          <w:b/>
          <w:bCs/>
          <w:sz w:val="28"/>
          <w:szCs w:val="28"/>
        </w:rPr>
        <w:fldChar w:fldCharType="begin"/>
      </w:r>
      <w:r>
        <w:rPr>
          <w:rFonts w:hint="eastAsia"/>
          <w:b/>
          <w:bCs/>
          <w:sz w:val="28"/>
          <w:szCs w:val="28"/>
        </w:rPr>
        <w:instrText xml:space="preserve"> HYPERLINK \l _Toc8430 </w:instrText>
      </w:r>
      <w:r>
        <w:rPr>
          <w:rFonts w:hint="eastAsia"/>
          <w:b/>
          <w:bCs/>
          <w:sz w:val="28"/>
          <w:szCs w:val="28"/>
        </w:rPr>
        <w:fldChar w:fldCharType="separate"/>
      </w:r>
      <w:r>
        <w:rPr>
          <w:rFonts w:hint="eastAsia" w:asciiTheme="minorEastAsia" w:hAnsiTheme="minorEastAsia" w:eastAsiaTheme="minorEastAsia" w:cstheme="minorEastAsia"/>
          <w:b/>
          <w:bCs/>
          <w:sz w:val="28"/>
          <w:szCs w:val="28"/>
          <w:lang w:val="en-US" w:eastAsia="zh-CN"/>
        </w:rPr>
        <w:t>2 损益类问题</w:t>
      </w:r>
      <w:r>
        <w:rPr>
          <w:b/>
          <w:bCs/>
          <w:sz w:val="28"/>
          <w:szCs w:val="28"/>
        </w:rPr>
        <w:tab/>
      </w:r>
      <w:r>
        <w:rPr>
          <w:b/>
          <w:bCs/>
          <w:sz w:val="28"/>
          <w:szCs w:val="28"/>
        </w:rPr>
        <w:fldChar w:fldCharType="begin"/>
      </w:r>
      <w:r>
        <w:rPr>
          <w:b/>
          <w:bCs/>
          <w:sz w:val="28"/>
          <w:szCs w:val="28"/>
        </w:rPr>
        <w:instrText xml:space="preserve"> PAGEREF _Toc8430 \h </w:instrText>
      </w:r>
      <w:r>
        <w:rPr>
          <w:b/>
          <w:bCs/>
          <w:sz w:val="28"/>
          <w:szCs w:val="28"/>
        </w:rPr>
        <w:fldChar w:fldCharType="separate"/>
      </w:r>
      <w:r>
        <w:rPr>
          <w:b/>
          <w:bCs/>
          <w:sz w:val="28"/>
          <w:szCs w:val="28"/>
        </w:rPr>
        <w:t>10</w:t>
      </w:r>
      <w:r>
        <w:rPr>
          <w:b/>
          <w:bCs/>
          <w:sz w:val="28"/>
          <w:szCs w:val="28"/>
        </w:rPr>
        <w:fldChar w:fldCharType="end"/>
      </w:r>
      <w:r>
        <w:rPr>
          <w:rFonts w:hint="eastAsia"/>
          <w:b/>
          <w:bCs/>
          <w:sz w:val="28"/>
          <w:szCs w:val="28"/>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_Toc5301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1 </w:t>
      </w:r>
      <w:r>
        <w:rPr>
          <w:rFonts w:hint="eastAsia" w:asciiTheme="minorEastAsia" w:hAnsiTheme="minorEastAsia" w:eastAsiaTheme="minorEastAsia" w:cstheme="minorEastAsia"/>
          <w:szCs w:val="21"/>
        </w:rPr>
        <w:t>撤场项目，法律诉讼收费，调减了86万呢，直接冲了今年损益？</w:t>
      </w:r>
      <w:r>
        <w:tab/>
      </w:r>
      <w:r>
        <w:fldChar w:fldCharType="begin"/>
      </w:r>
      <w:r>
        <w:instrText xml:space="preserve"> PAGEREF _Toc5301 \h </w:instrText>
      </w:r>
      <w:r>
        <w:fldChar w:fldCharType="separate"/>
      </w:r>
      <w:r>
        <w:t>10</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_Toc27855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2 </w:t>
      </w:r>
      <w:r>
        <w:rPr>
          <w:rFonts w:hint="eastAsia" w:asciiTheme="minorEastAsia" w:hAnsiTheme="minorEastAsia" w:eastAsiaTheme="minorEastAsia" w:cstheme="minorEastAsia"/>
          <w:szCs w:val="21"/>
        </w:rPr>
        <w:t>因为延迟缴纳社保，被社保局加扣了社保利息，这个利息应如何做账？</w:t>
      </w:r>
      <w:r>
        <w:tab/>
      </w:r>
      <w:r>
        <w:fldChar w:fldCharType="begin"/>
      </w:r>
      <w:r>
        <w:instrText xml:space="preserve"> PAGEREF _Toc27855 \h </w:instrText>
      </w:r>
      <w:r>
        <w:fldChar w:fldCharType="separate"/>
      </w:r>
      <w:r>
        <w:t>10</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_Toc27359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3 </w:t>
      </w:r>
      <w:r>
        <w:rPr>
          <w:rFonts w:hint="eastAsia" w:asciiTheme="minorEastAsia" w:hAnsiTheme="minorEastAsia" w:eastAsiaTheme="minorEastAsia" w:cstheme="minorEastAsia"/>
          <w:szCs w:val="21"/>
        </w:rPr>
        <w:t>政府拨款的稳岗补贴应该计入哪个科目？</w:t>
      </w:r>
      <w:r>
        <w:tab/>
      </w:r>
      <w:r>
        <w:fldChar w:fldCharType="begin"/>
      </w:r>
      <w:r>
        <w:instrText xml:space="preserve"> PAGEREF _Toc27359 \h </w:instrText>
      </w:r>
      <w:r>
        <w:fldChar w:fldCharType="separate"/>
      </w:r>
      <w:r>
        <w:t>11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_Toc15235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4 </w:t>
      </w:r>
      <w:r>
        <w:rPr>
          <w:rFonts w:hint="eastAsia" w:asciiTheme="minorEastAsia" w:hAnsiTheme="minorEastAsia" w:eastAsiaTheme="minorEastAsia" w:cstheme="minorEastAsia"/>
          <w:szCs w:val="21"/>
        </w:rPr>
        <w:t>节能服务成本，这一块成本应计入哪个科目？</w:t>
      </w:r>
      <w:r>
        <w:tab/>
      </w:r>
      <w:r>
        <w:fldChar w:fldCharType="begin"/>
      </w:r>
      <w:r>
        <w:instrText xml:space="preserve"> PAGEREF _Toc15235 \h </w:instrText>
      </w:r>
      <w:r>
        <w:fldChar w:fldCharType="separate"/>
      </w:r>
      <w:r>
        <w:t>11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_Toc3917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5 </w:t>
      </w:r>
      <w:r>
        <w:rPr>
          <w:rFonts w:hint="eastAsia" w:asciiTheme="minorEastAsia" w:hAnsiTheme="minorEastAsia" w:eastAsiaTheme="minorEastAsia" w:cstheme="minorEastAsia"/>
          <w:szCs w:val="21"/>
        </w:rPr>
        <w:t>关于收到政府税收返还或税收补助该入什么科目</w:t>
      </w:r>
      <w:r>
        <w:tab/>
      </w:r>
      <w:r>
        <w:fldChar w:fldCharType="begin"/>
      </w:r>
      <w:r>
        <w:instrText xml:space="preserve"> PAGEREF _Toc3917 \h </w:instrText>
      </w:r>
      <w:r>
        <w:fldChar w:fldCharType="separate"/>
      </w:r>
      <w:r>
        <w:t>12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_Toc4159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6 </w:t>
      </w:r>
      <w:r>
        <w:rPr>
          <w:rFonts w:hint="eastAsia" w:asciiTheme="minorEastAsia" w:hAnsiTheme="minorEastAsia" w:eastAsiaTheme="minorEastAsia" w:cstheme="minorEastAsia"/>
          <w:szCs w:val="21"/>
        </w:rPr>
        <w:t>取得政府补助应在哪个科目核算</w:t>
      </w:r>
      <w:r>
        <w:tab/>
      </w:r>
      <w:r>
        <w:fldChar w:fldCharType="begin"/>
      </w:r>
      <w:r>
        <w:instrText xml:space="preserve"> PAGEREF _Toc4159 \h </w:instrText>
      </w:r>
      <w:r>
        <w:fldChar w:fldCharType="separate"/>
      </w:r>
      <w:r>
        <w:t>12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_Toc28707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7 </w:t>
      </w:r>
      <w:r>
        <w:rPr>
          <w:rFonts w:hint="eastAsia" w:asciiTheme="minorEastAsia" w:hAnsiTheme="minorEastAsia" w:eastAsiaTheme="minorEastAsia" w:cstheme="minorEastAsia"/>
          <w:szCs w:val="21"/>
        </w:rPr>
        <w:t>项目已经撤场了之前归还借款多还了,导致个人借款科目负数，如何处理</w:t>
      </w:r>
      <w:r>
        <w:tab/>
      </w:r>
      <w:r>
        <w:fldChar w:fldCharType="begin"/>
      </w:r>
      <w:r>
        <w:instrText xml:space="preserve"> PAGEREF _Toc28707 \h </w:instrText>
      </w:r>
      <w:r>
        <w:fldChar w:fldCharType="separate"/>
      </w:r>
      <w:r>
        <w:t>12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_Toc24892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8 </w:t>
      </w:r>
      <w:r>
        <w:rPr>
          <w:rFonts w:hint="eastAsia" w:asciiTheme="minorEastAsia" w:hAnsiTheme="minorEastAsia" w:eastAsiaTheme="minorEastAsia" w:cstheme="minorEastAsia"/>
          <w:szCs w:val="21"/>
        </w:rPr>
        <w:t>其他收益与返还冲减成本的界限</w:t>
      </w:r>
      <w:r>
        <w:tab/>
      </w:r>
      <w:r>
        <w:fldChar w:fldCharType="begin"/>
      </w:r>
      <w:r>
        <w:instrText xml:space="preserve"> PAGEREF _Toc24892 \h </w:instrText>
      </w:r>
      <w:r>
        <w:fldChar w:fldCharType="separate"/>
      </w:r>
      <w:r>
        <w:t>13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_Toc28885 </w:instrText>
      </w:r>
      <w:r>
        <w:rPr>
          <w:rFonts w:hint="eastAsia"/>
          <w:szCs w:val="21"/>
        </w:rPr>
        <w:fldChar w:fldCharType="separate"/>
      </w:r>
      <w:r>
        <w:rPr>
          <w:rFonts w:hint="eastAsia" w:asciiTheme="minorEastAsia" w:hAnsiTheme="minorEastAsia" w:eastAsiaTheme="minorEastAsia" w:cstheme="minorEastAsia"/>
          <w:szCs w:val="21"/>
          <w:lang w:val="en-US" w:eastAsia="zh-CN"/>
        </w:rPr>
        <w:t>2.</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9 </w:t>
      </w:r>
      <w:r>
        <w:rPr>
          <w:rFonts w:hint="eastAsia" w:asciiTheme="minorEastAsia" w:hAnsiTheme="minorEastAsia" w:eastAsiaTheme="minorEastAsia" w:cstheme="minorEastAsia"/>
          <w:szCs w:val="21"/>
        </w:rPr>
        <w:t>政府部门（如街道办）支付的专项补贴（如防疫工作专项补贴），但由我公司向打款部门开票发票（见下图），该入什么科目？</w:t>
      </w:r>
      <w:r>
        <w:tab/>
      </w:r>
      <w:r>
        <w:fldChar w:fldCharType="begin"/>
      </w:r>
      <w:r>
        <w:instrText xml:space="preserve"> PAGEREF _Toc28885 \h </w:instrText>
      </w:r>
      <w:r>
        <w:fldChar w:fldCharType="separate"/>
      </w:r>
      <w:r>
        <w:t>13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_Toc6602 </w:instrText>
      </w:r>
      <w:r>
        <w:rPr>
          <w:rFonts w:hint="eastAsia"/>
          <w:szCs w:val="21"/>
        </w:rPr>
        <w:fldChar w:fldCharType="separate"/>
      </w:r>
      <w:r>
        <w:rPr>
          <w:rFonts w:hint="eastAsia" w:asciiTheme="minorEastAsia" w:hAnsiTheme="minorEastAsia" w:eastAsiaTheme="minorEastAsia" w:cstheme="minorEastAsia"/>
          <w:szCs w:val="21"/>
          <w:lang w:val="en-US" w:eastAsia="zh-CN"/>
        </w:rPr>
        <w:t xml:space="preserve">2.10 </w:t>
      </w:r>
      <w:r>
        <w:rPr>
          <w:rFonts w:hint="eastAsia" w:asciiTheme="minorEastAsia" w:hAnsiTheme="minorEastAsia" w:eastAsiaTheme="minorEastAsia" w:cstheme="minorEastAsia"/>
          <w:szCs w:val="21"/>
        </w:rPr>
        <w:t>支付给员工的工伤赔偿应该入哪个科目？</w:t>
      </w:r>
      <w:r>
        <w:tab/>
      </w:r>
      <w:r>
        <w:fldChar w:fldCharType="begin"/>
      </w:r>
      <w:r>
        <w:instrText xml:space="preserve"> PAGEREF _Toc6602 \h </w:instrText>
      </w:r>
      <w:r>
        <w:fldChar w:fldCharType="separate"/>
      </w:r>
      <w:r>
        <w:t>14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_Toc22109 </w:instrText>
      </w:r>
      <w:r>
        <w:rPr>
          <w:rFonts w:hint="eastAsia"/>
          <w:szCs w:val="21"/>
        </w:rPr>
        <w:fldChar w:fldCharType="separate"/>
      </w:r>
      <w:r>
        <w:rPr>
          <w:rFonts w:hint="eastAsia" w:asciiTheme="minorEastAsia" w:hAnsiTheme="minorEastAsia" w:cstheme="minorEastAsia"/>
          <w:bCs/>
          <w:szCs w:val="21"/>
          <w:lang w:val="en-US" w:eastAsia="zh-CN"/>
        </w:rPr>
        <w:t>2.11 POS机的年费支出应该入哪个科目？</w:t>
      </w:r>
      <w:r>
        <w:tab/>
      </w:r>
      <w:r>
        <w:fldChar w:fldCharType="begin"/>
      </w:r>
      <w:r>
        <w:instrText xml:space="preserve"> PAGEREF _Toc22109 \h </w:instrText>
      </w:r>
      <w:r>
        <w:fldChar w:fldCharType="separate"/>
      </w:r>
      <w:r>
        <w:t>14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_Toc32322 </w:instrText>
      </w:r>
      <w:r>
        <w:rPr>
          <w:rFonts w:hint="eastAsia"/>
          <w:szCs w:val="21"/>
        </w:rPr>
        <w:fldChar w:fldCharType="separate"/>
      </w:r>
      <w:r>
        <w:rPr>
          <w:rFonts w:hint="eastAsia" w:asciiTheme="minorEastAsia" w:hAnsiTheme="minorEastAsia" w:cstheme="minorEastAsia"/>
          <w:bCs/>
          <w:szCs w:val="21"/>
          <w:lang w:val="en-US" w:eastAsia="zh-CN"/>
        </w:rPr>
        <w:t>2.12 招待费中包括客户等非本公司员工的交通、住宿等费用，入哪个科目，交通费部分需要价税分离吗？</w:t>
      </w:r>
      <w:r>
        <w:tab/>
      </w:r>
      <w:r>
        <w:fldChar w:fldCharType="begin"/>
      </w:r>
      <w:r>
        <w:instrText xml:space="preserve"> PAGEREF _Toc32322 \h </w:instrText>
      </w:r>
      <w:r>
        <w:fldChar w:fldCharType="separate"/>
      </w:r>
      <w:r>
        <w:t>14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_Toc8677 </w:instrText>
      </w:r>
      <w:r>
        <w:rPr>
          <w:rFonts w:hint="eastAsia"/>
          <w:szCs w:val="21"/>
        </w:rPr>
        <w:fldChar w:fldCharType="separate"/>
      </w:r>
      <w:r>
        <w:rPr>
          <w:rFonts w:hint="eastAsia" w:asciiTheme="minorEastAsia" w:hAnsiTheme="minorEastAsia" w:cstheme="minorEastAsia"/>
          <w:bCs/>
          <w:szCs w:val="21"/>
          <w:lang w:val="en-US" w:eastAsia="zh-CN"/>
        </w:rPr>
        <w:t>2.13 工会经费是按照工资总额的2%计提，这个工资指的是员工的应发工资吗？</w:t>
      </w:r>
      <w:r>
        <w:tab/>
      </w:r>
      <w:r>
        <w:fldChar w:fldCharType="begin"/>
      </w:r>
      <w:r>
        <w:instrText xml:space="preserve"> PAGEREF _Toc8677 \h </w:instrText>
      </w:r>
      <w:r>
        <w:fldChar w:fldCharType="separate"/>
      </w:r>
      <w:r>
        <w:t>15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_Toc2166 </w:instrText>
      </w:r>
      <w:r>
        <w:rPr>
          <w:rFonts w:hint="eastAsia"/>
          <w:szCs w:val="21"/>
        </w:rPr>
        <w:fldChar w:fldCharType="separate"/>
      </w:r>
      <w:r>
        <w:rPr>
          <w:rFonts w:hint="eastAsia" w:asciiTheme="minorEastAsia" w:hAnsiTheme="minorEastAsia" w:cstheme="minorEastAsia"/>
          <w:bCs/>
          <w:szCs w:val="21"/>
          <w:lang w:val="en-US" w:eastAsia="zh-CN"/>
        </w:rPr>
        <w:t>2.14 有协议约定，我司入驻二手盘后，收到小业主缴纳之前物业公司管理期间的物业费，按7:3的比例进行划分。现在我司收到该款项后，如何操作？（2022-4-30修改收费项目和费用类型）</w:t>
      </w:r>
      <w:r>
        <w:tab/>
      </w:r>
      <w:r>
        <w:fldChar w:fldCharType="begin"/>
      </w:r>
      <w:r>
        <w:instrText xml:space="preserve"> PAGEREF _Toc2166 \h </w:instrText>
      </w:r>
      <w:r>
        <w:fldChar w:fldCharType="separate"/>
      </w:r>
      <w:r>
        <w:t>15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_Toc13830 </w:instrText>
      </w:r>
      <w:r>
        <w:rPr>
          <w:rFonts w:hint="eastAsia"/>
          <w:szCs w:val="21"/>
        </w:rPr>
        <w:fldChar w:fldCharType="separate"/>
      </w:r>
      <w:r>
        <w:rPr>
          <w:rFonts w:hint="eastAsia" w:asciiTheme="minorEastAsia" w:hAnsiTheme="minorEastAsia" w:cstheme="minorEastAsia"/>
          <w:bCs/>
          <w:szCs w:val="21"/>
          <w:lang w:val="en-US" w:eastAsia="zh-CN"/>
        </w:rPr>
        <w:t>2.15 项目购入天然气用于供暖及制冷的能源，如何处理天然气成本？</w:t>
      </w:r>
      <w:r>
        <w:tab/>
      </w:r>
      <w:r>
        <w:fldChar w:fldCharType="begin"/>
      </w:r>
      <w:r>
        <w:instrText xml:space="preserve"> PAGEREF _Toc13830 \h </w:instrText>
      </w:r>
      <w:r>
        <w:fldChar w:fldCharType="separate"/>
      </w:r>
      <w:r>
        <w:t>15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_Toc18558 </w:instrText>
      </w:r>
      <w:r>
        <w:rPr>
          <w:rFonts w:hint="eastAsia"/>
          <w:szCs w:val="21"/>
        </w:rPr>
        <w:fldChar w:fldCharType="separate"/>
      </w:r>
      <w:r>
        <w:rPr>
          <w:rFonts w:hint="eastAsia" w:asciiTheme="minorEastAsia" w:hAnsiTheme="minorEastAsia" w:cstheme="minorEastAsia"/>
          <w:bCs/>
          <w:szCs w:val="21"/>
          <w:lang w:val="en-US" w:eastAsia="zh-CN"/>
        </w:rPr>
        <w:t>2.16 因特殊情况接待员工家属支付的相关开支记入什么科目？</w:t>
      </w:r>
      <w:r>
        <w:tab/>
      </w:r>
      <w:r>
        <w:fldChar w:fldCharType="begin"/>
      </w:r>
      <w:r>
        <w:instrText xml:space="preserve"> PAGEREF _Toc18558 \h </w:instrText>
      </w:r>
      <w:r>
        <w:fldChar w:fldCharType="separate"/>
      </w:r>
      <w:r>
        <w:t>15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_Toc17104 </w:instrText>
      </w:r>
      <w:r>
        <w:rPr>
          <w:rFonts w:hint="eastAsia"/>
          <w:szCs w:val="21"/>
        </w:rPr>
        <w:fldChar w:fldCharType="separate"/>
      </w:r>
      <w:r>
        <w:rPr>
          <w:rFonts w:hint="eastAsia" w:asciiTheme="minorEastAsia" w:hAnsiTheme="minorEastAsia" w:cstheme="minorEastAsia"/>
          <w:bCs/>
          <w:szCs w:val="21"/>
          <w:lang w:val="en-US" w:eastAsia="zh-CN"/>
        </w:rPr>
        <w:t>2.17 “小业主维护费”的使用范围</w:t>
      </w:r>
      <w:r>
        <w:tab/>
      </w:r>
      <w:r>
        <w:fldChar w:fldCharType="begin"/>
      </w:r>
      <w:r>
        <w:instrText xml:space="preserve"> PAGEREF _Toc17104 \h </w:instrText>
      </w:r>
      <w:r>
        <w:fldChar w:fldCharType="separate"/>
      </w:r>
      <w:r>
        <w:t>16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_Toc29976 </w:instrText>
      </w:r>
      <w:r>
        <w:rPr>
          <w:rFonts w:hint="eastAsia"/>
          <w:szCs w:val="21"/>
        </w:rPr>
        <w:fldChar w:fldCharType="separate"/>
      </w:r>
      <w:r>
        <w:rPr>
          <w:rFonts w:hint="eastAsia" w:asciiTheme="minorEastAsia" w:hAnsiTheme="minorEastAsia" w:cstheme="minorEastAsia"/>
          <w:bCs/>
          <w:szCs w:val="21"/>
          <w:lang w:val="en-US" w:eastAsia="zh-CN"/>
        </w:rPr>
        <w:t>2.18 政府发钱给企业，企业用以做培训的入账处理</w:t>
      </w:r>
      <w:r>
        <w:tab/>
      </w:r>
      <w:r>
        <w:fldChar w:fldCharType="begin"/>
      </w:r>
      <w:r>
        <w:instrText xml:space="preserve"> PAGEREF _Toc29976 \h </w:instrText>
      </w:r>
      <w:r>
        <w:fldChar w:fldCharType="separate"/>
      </w:r>
      <w:r>
        <w:t>16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_Toc5939 </w:instrText>
      </w:r>
      <w:r>
        <w:rPr>
          <w:rFonts w:hint="eastAsia"/>
          <w:szCs w:val="21"/>
        </w:rPr>
        <w:fldChar w:fldCharType="separate"/>
      </w:r>
      <w:r>
        <w:rPr>
          <w:rFonts w:hint="eastAsia" w:asciiTheme="minorEastAsia" w:hAnsiTheme="minorEastAsia" w:cstheme="minorEastAsia"/>
          <w:bCs/>
          <w:szCs w:val="21"/>
          <w:lang w:val="en-US" w:eastAsia="zh-CN"/>
        </w:rPr>
        <w:t>2.19 损益科目“软件/平台使用费”的核算内容有哪些？</w:t>
      </w:r>
      <w:r>
        <w:tab/>
      </w:r>
      <w:r>
        <w:fldChar w:fldCharType="begin"/>
      </w:r>
      <w:r>
        <w:instrText xml:space="preserve"> PAGEREF _Toc5939 \h </w:instrText>
      </w:r>
      <w:r>
        <w:fldChar w:fldCharType="separate"/>
      </w:r>
      <w:r>
        <w:t>16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_Toc28670 </w:instrText>
      </w:r>
      <w:r>
        <w:rPr>
          <w:rFonts w:hint="eastAsia"/>
          <w:szCs w:val="21"/>
        </w:rPr>
        <w:fldChar w:fldCharType="separate"/>
      </w:r>
      <w:r>
        <w:rPr>
          <w:rFonts w:hint="eastAsia" w:asciiTheme="minorEastAsia" w:hAnsiTheme="minorEastAsia" w:cstheme="minorEastAsia"/>
          <w:bCs/>
          <w:szCs w:val="21"/>
          <w:lang w:val="en-US" w:eastAsia="zh-CN"/>
        </w:rPr>
        <w:t>2.20 “8401.01.01.09劳务派遣劳务费”科目的核算内容有哪些</w:t>
      </w:r>
      <w:r>
        <w:tab/>
      </w:r>
      <w:r>
        <w:fldChar w:fldCharType="begin"/>
      </w:r>
      <w:r>
        <w:instrText xml:space="preserve"> PAGEREF _Toc28670 \h </w:instrText>
      </w:r>
      <w:r>
        <w:fldChar w:fldCharType="separate"/>
      </w:r>
      <w:r>
        <w:t>16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_Toc10876 </w:instrText>
      </w:r>
      <w:r>
        <w:rPr>
          <w:rFonts w:hint="eastAsia"/>
          <w:szCs w:val="21"/>
        </w:rPr>
        <w:fldChar w:fldCharType="separate"/>
      </w:r>
      <w:r>
        <w:rPr>
          <w:rFonts w:hint="eastAsia" w:asciiTheme="minorEastAsia" w:hAnsiTheme="minorEastAsia" w:cstheme="minorEastAsia"/>
          <w:bCs/>
          <w:szCs w:val="21"/>
          <w:lang w:val="en-US" w:eastAsia="zh-CN"/>
        </w:rPr>
        <w:t>2.21 “8111.04 投资收益-债权处置损益”科目的核算内容和业务范围</w:t>
      </w:r>
      <w:r>
        <w:tab/>
      </w:r>
      <w:r>
        <w:fldChar w:fldCharType="begin"/>
      </w:r>
      <w:r>
        <w:instrText xml:space="preserve"> PAGEREF _Toc10876 \h </w:instrText>
      </w:r>
      <w:r>
        <w:fldChar w:fldCharType="separate"/>
      </w:r>
      <w:r>
        <w:t>17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_Toc26066 </w:instrText>
      </w:r>
      <w:r>
        <w:rPr>
          <w:rFonts w:hint="eastAsia"/>
          <w:szCs w:val="21"/>
        </w:rPr>
        <w:fldChar w:fldCharType="separate"/>
      </w:r>
      <w:r>
        <w:rPr>
          <w:rFonts w:hint="eastAsia" w:asciiTheme="minorEastAsia" w:hAnsiTheme="minorEastAsia" w:cstheme="minorEastAsia"/>
          <w:bCs/>
          <w:szCs w:val="21"/>
          <w:lang w:val="en-US" w:eastAsia="zh-CN"/>
        </w:rPr>
        <w:t>2.22 银行收的投标保函手续费使用什么科目核算</w:t>
      </w:r>
      <w:r>
        <w:tab/>
      </w:r>
      <w:r>
        <w:fldChar w:fldCharType="begin"/>
      </w:r>
      <w:r>
        <w:instrText xml:space="preserve"> PAGEREF _Toc26066 \h </w:instrText>
      </w:r>
      <w:r>
        <w:fldChar w:fldCharType="separate"/>
      </w:r>
      <w:r>
        <w:t>18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_Toc1804 </w:instrText>
      </w:r>
      <w:r>
        <w:rPr>
          <w:rFonts w:hint="eastAsia"/>
          <w:szCs w:val="21"/>
        </w:rPr>
        <w:fldChar w:fldCharType="separate"/>
      </w:r>
      <w:r>
        <w:rPr>
          <w:rFonts w:hint="eastAsia" w:asciiTheme="minorEastAsia" w:hAnsiTheme="minorEastAsia" w:cstheme="minorEastAsia"/>
          <w:bCs/>
          <w:szCs w:val="21"/>
          <w:lang w:val="en-US" w:eastAsia="zh-CN"/>
        </w:rPr>
        <w:t>2.23 支付给临时/兼职人员的费用可以使用差旅费吗？</w:t>
      </w:r>
      <w:r>
        <w:tab/>
      </w:r>
      <w:r>
        <w:fldChar w:fldCharType="begin"/>
      </w:r>
      <w:r>
        <w:instrText xml:space="preserve"> PAGEREF _Toc1804 \h </w:instrText>
      </w:r>
      <w:r>
        <w:fldChar w:fldCharType="separate"/>
      </w:r>
      <w:r>
        <w:t>18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_Toc11930 </w:instrText>
      </w:r>
      <w:r>
        <w:rPr>
          <w:rFonts w:hint="eastAsia"/>
          <w:szCs w:val="21"/>
        </w:rPr>
        <w:fldChar w:fldCharType="separate"/>
      </w:r>
      <w:r>
        <w:rPr>
          <w:rFonts w:hint="eastAsia" w:asciiTheme="minorEastAsia" w:hAnsiTheme="minorEastAsia" w:cstheme="minorEastAsia"/>
          <w:bCs/>
          <w:szCs w:val="21"/>
          <w:lang w:val="en-US" w:eastAsia="zh-CN"/>
        </w:rPr>
        <w:t>2.24 收到工会经费返还如何做账务处理？</w:t>
      </w:r>
      <w:r>
        <w:tab/>
      </w:r>
      <w:r>
        <w:fldChar w:fldCharType="begin"/>
      </w:r>
      <w:r>
        <w:instrText xml:space="preserve"> PAGEREF _Toc11930 \h </w:instrText>
      </w:r>
      <w:r>
        <w:fldChar w:fldCharType="separate"/>
      </w:r>
      <w:r>
        <w:t>18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_Toc18289 </w:instrText>
      </w:r>
      <w:r>
        <w:rPr>
          <w:rFonts w:hint="eastAsia"/>
          <w:szCs w:val="21"/>
        </w:rPr>
        <w:fldChar w:fldCharType="separate"/>
      </w:r>
      <w:r>
        <w:rPr>
          <w:rFonts w:hint="eastAsia" w:asciiTheme="minorEastAsia" w:hAnsiTheme="minorEastAsia" w:cstheme="minorEastAsia"/>
          <w:bCs/>
          <w:szCs w:val="21"/>
          <w:lang w:val="en-US" w:eastAsia="zh-CN"/>
        </w:rPr>
        <w:t>2.25 防疫期间，社区委派义工、保安等人员进入物业小区协助维护核酸筛查秩序产生的支出核算</w:t>
      </w:r>
      <w:r>
        <w:tab/>
      </w:r>
      <w:r>
        <w:fldChar w:fldCharType="begin"/>
      </w:r>
      <w:r>
        <w:instrText xml:space="preserve"> PAGEREF _Toc18289 \h </w:instrText>
      </w:r>
      <w:r>
        <w:fldChar w:fldCharType="separate"/>
      </w:r>
      <w:r>
        <w:t>19</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_Toc31451 </w:instrText>
      </w:r>
      <w:r>
        <w:rPr>
          <w:rFonts w:hint="eastAsia"/>
          <w:szCs w:val="21"/>
        </w:rPr>
        <w:fldChar w:fldCharType="separate"/>
      </w:r>
      <w:r>
        <w:rPr>
          <w:rFonts w:hint="eastAsia" w:asciiTheme="minorEastAsia" w:hAnsiTheme="minorEastAsia" w:cstheme="minorEastAsia"/>
          <w:bCs/>
          <w:szCs w:val="21"/>
          <w:lang w:val="en-US" w:eastAsia="zh-CN"/>
        </w:rPr>
        <w:t>2.26 债权转让的账务处理-转给第三方</w:t>
      </w:r>
      <w:r>
        <w:tab/>
      </w:r>
      <w:r>
        <w:fldChar w:fldCharType="begin"/>
      </w:r>
      <w:r>
        <w:instrText xml:space="preserve"> PAGEREF _Toc31451 \h </w:instrText>
      </w:r>
      <w:r>
        <w:fldChar w:fldCharType="separate"/>
      </w:r>
      <w:r>
        <w:t>19</w:t>
      </w:r>
      <w:r>
        <w:fldChar w:fldCharType="end"/>
      </w:r>
      <w:r>
        <w:rPr>
          <w:rFonts w:hint="eastAsia"/>
          <w:szCs w:val="21"/>
        </w:rPr>
        <w:fldChar w:fldCharType="end"/>
      </w:r>
    </w:p>
    <w:p>
      <w:pPr>
        <w:pStyle w:val="8"/>
        <w:tabs>
          <w:tab w:val="right" w:leader="dot" w:pos="9922"/>
          <w:tab w:val="clear" w:pos="9912"/>
        </w:tabs>
        <w:rPr>
          <w:b/>
          <w:bCs/>
          <w:sz w:val="28"/>
          <w:szCs w:val="28"/>
        </w:rPr>
      </w:pPr>
      <w:r>
        <w:rPr>
          <w:rFonts w:hint="eastAsia"/>
          <w:b/>
          <w:bCs/>
          <w:sz w:val="28"/>
          <w:szCs w:val="28"/>
        </w:rPr>
        <w:fldChar w:fldCharType="begin"/>
      </w:r>
      <w:r>
        <w:rPr>
          <w:rFonts w:hint="eastAsia"/>
          <w:b/>
          <w:bCs/>
          <w:sz w:val="28"/>
          <w:szCs w:val="28"/>
        </w:rPr>
        <w:instrText xml:space="preserve"> HYPERLINK \l _Toc8576 </w:instrText>
      </w:r>
      <w:r>
        <w:rPr>
          <w:rFonts w:hint="eastAsia"/>
          <w:b/>
          <w:bCs/>
          <w:sz w:val="28"/>
          <w:szCs w:val="28"/>
        </w:rPr>
        <w:fldChar w:fldCharType="separate"/>
      </w:r>
      <w:r>
        <w:rPr>
          <w:rFonts w:hint="eastAsia" w:asciiTheme="minorEastAsia" w:hAnsiTheme="minorEastAsia" w:eastAsiaTheme="minorEastAsia" w:cstheme="minorEastAsia"/>
          <w:b/>
          <w:bCs/>
          <w:sz w:val="28"/>
          <w:szCs w:val="28"/>
          <w:lang w:val="en-US" w:eastAsia="zh-CN"/>
        </w:rPr>
        <w:t>3 税务类问题</w:t>
      </w:r>
      <w:r>
        <w:rPr>
          <w:b/>
          <w:bCs/>
          <w:sz w:val="28"/>
          <w:szCs w:val="28"/>
        </w:rPr>
        <w:tab/>
      </w:r>
      <w:r>
        <w:rPr>
          <w:b/>
          <w:bCs/>
          <w:sz w:val="28"/>
          <w:szCs w:val="28"/>
        </w:rPr>
        <w:fldChar w:fldCharType="begin"/>
      </w:r>
      <w:r>
        <w:rPr>
          <w:b/>
          <w:bCs/>
          <w:sz w:val="28"/>
          <w:szCs w:val="28"/>
        </w:rPr>
        <w:instrText xml:space="preserve"> PAGEREF _Toc8576 \h </w:instrText>
      </w:r>
      <w:r>
        <w:rPr>
          <w:b/>
          <w:bCs/>
          <w:sz w:val="28"/>
          <w:szCs w:val="28"/>
        </w:rPr>
        <w:fldChar w:fldCharType="separate"/>
      </w:r>
      <w:r>
        <w:rPr>
          <w:b/>
          <w:bCs/>
          <w:sz w:val="28"/>
          <w:szCs w:val="28"/>
        </w:rPr>
        <w:t>20</w:t>
      </w:r>
      <w:r>
        <w:rPr>
          <w:b/>
          <w:bCs/>
          <w:sz w:val="28"/>
          <w:szCs w:val="28"/>
        </w:rPr>
        <w:fldChar w:fldCharType="end"/>
      </w:r>
      <w:r>
        <w:rPr>
          <w:rFonts w:hint="eastAsia"/>
          <w:b/>
          <w:bCs/>
          <w:sz w:val="28"/>
          <w:szCs w:val="28"/>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_Toc31447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1 </w:t>
      </w:r>
      <w:r>
        <w:rPr>
          <w:rFonts w:hint="eastAsia" w:asciiTheme="minorEastAsia" w:hAnsiTheme="minorEastAsia" w:eastAsiaTheme="minorEastAsia" w:cstheme="minorEastAsia"/>
          <w:szCs w:val="21"/>
        </w:rPr>
        <w:t>在税率调整后（比如2019-07期）发生退款，退款所属期为税率调整前（比如2019-03期）的，手工生成凭证时，对应的销项税率是用原税率还是用新税率？</w:t>
      </w:r>
      <w:r>
        <w:tab/>
      </w:r>
      <w:r>
        <w:fldChar w:fldCharType="begin"/>
      </w:r>
      <w:r>
        <w:instrText xml:space="preserve"> PAGEREF _Toc31447 \h </w:instrText>
      </w:r>
      <w:r>
        <w:fldChar w:fldCharType="separate"/>
      </w:r>
      <w:r>
        <w:t>20</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_Toc5935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2 </w:t>
      </w:r>
      <w:r>
        <w:rPr>
          <w:rFonts w:hint="eastAsia" w:asciiTheme="minorEastAsia" w:hAnsiTheme="minorEastAsia" w:eastAsiaTheme="minorEastAsia" w:cstheme="minorEastAsia"/>
          <w:szCs w:val="21"/>
        </w:rPr>
        <w:t>取得的发票，税率调整前期（比如2019-03期）的分录有错误，在后期需调整时，如何处理新旧税率？</w:t>
      </w:r>
      <w:r>
        <w:tab/>
      </w:r>
      <w:r>
        <w:fldChar w:fldCharType="begin"/>
      </w:r>
      <w:r>
        <w:instrText xml:space="preserve"> PAGEREF _Toc5935 \h </w:instrText>
      </w:r>
      <w:r>
        <w:fldChar w:fldCharType="separate"/>
      </w:r>
      <w:r>
        <w:t>21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_Toc22654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3 </w:t>
      </w:r>
      <w:r>
        <w:rPr>
          <w:rFonts w:hint="eastAsia" w:asciiTheme="minorEastAsia" w:hAnsiTheme="minorEastAsia" w:eastAsiaTheme="minorEastAsia" w:cstheme="minorEastAsia"/>
          <w:szCs w:val="21"/>
        </w:rPr>
        <w:t>管理处/项目处当期先开发票，未确认收入怎么处理？</w:t>
      </w:r>
      <w:r>
        <w:tab/>
      </w:r>
      <w:r>
        <w:fldChar w:fldCharType="begin"/>
      </w:r>
      <w:r>
        <w:instrText xml:space="preserve"> PAGEREF _Toc22654 \h </w:instrText>
      </w:r>
      <w:r>
        <w:fldChar w:fldCharType="separate"/>
      </w:r>
      <w:r>
        <w:t>21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_Toc25399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4 </w:t>
      </w:r>
      <w:r>
        <w:rPr>
          <w:rFonts w:hint="eastAsia" w:asciiTheme="minorEastAsia" w:hAnsiTheme="minorEastAsia" w:eastAsiaTheme="minorEastAsia" w:cstheme="minorEastAsia"/>
          <w:szCs w:val="21"/>
        </w:rPr>
        <w:t>取得的特价机票（票价830+民航发票基金150+燃油附加费50 &gt; 合计230，例如）该如何抵税？</w:t>
      </w:r>
      <w:r>
        <w:tab/>
      </w:r>
      <w:r>
        <w:fldChar w:fldCharType="begin"/>
      </w:r>
      <w:r>
        <w:instrText xml:space="preserve"> PAGEREF _Toc25399 \h </w:instrText>
      </w:r>
      <w:r>
        <w:fldChar w:fldCharType="separate"/>
      </w:r>
      <w:r>
        <w:t>21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_Toc25099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5 </w:t>
      </w:r>
      <w:r>
        <w:rPr>
          <w:rFonts w:hint="eastAsia" w:asciiTheme="minorEastAsia" w:hAnsiTheme="minorEastAsia" w:eastAsiaTheme="minorEastAsia" w:cstheme="minorEastAsia"/>
          <w:szCs w:val="21"/>
        </w:rPr>
        <w:t>发票上注明是差额征税，但是税额和金额计算刚好是3%，在做账的时候该选择待认证进项税-3%还是待认证进项税-其他？</w:t>
      </w:r>
      <w:r>
        <w:tab/>
      </w:r>
      <w:r>
        <w:fldChar w:fldCharType="begin"/>
      </w:r>
      <w:r>
        <w:instrText xml:space="preserve"> PAGEREF _Toc25099 \h </w:instrText>
      </w:r>
      <w:r>
        <w:fldChar w:fldCharType="separate"/>
      </w:r>
      <w:r>
        <w:t>22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_Toc10181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6 </w:t>
      </w:r>
      <w:r>
        <w:rPr>
          <w:rFonts w:hint="eastAsia" w:asciiTheme="minorEastAsia" w:hAnsiTheme="minorEastAsia" w:eastAsiaTheme="minorEastAsia" w:cstheme="minorEastAsia"/>
          <w:szCs w:val="21"/>
        </w:rPr>
        <w:t>小规模纳税人收到税务局退回的附加税，如何做账务处理？</w:t>
      </w:r>
      <w:r>
        <w:tab/>
      </w:r>
      <w:r>
        <w:fldChar w:fldCharType="begin"/>
      </w:r>
      <w:r>
        <w:instrText xml:space="preserve"> PAGEREF _Toc10181 \h </w:instrText>
      </w:r>
      <w:r>
        <w:fldChar w:fldCharType="separate"/>
      </w:r>
      <w:r>
        <w:t>22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_Toc29286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7 </w:t>
      </w:r>
      <w:r>
        <w:rPr>
          <w:rFonts w:hint="eastAsia" w:asciiTheme="minorEastAsia" w:hAnsiTheme="minorEastAsia" w:eastAsiaTheme="minorEastAsia" w:cstheme="minorEastAsia"/>
          <w:szCs w:val="21"/>
        </w:rPr>
        <w:t>关于取得红字专用发票税金的账务处理</w:t>
      </w:r>
      <w:r>
        <w:tab/>
      </w:r>
      <w:r>
        <w:fldChar w:fldCharType="begin"/>
      </w:r>
      <w:r>
        <w:instrText xml:space="preserve"> PAGEREF _Toc29286 \h </w:instrText>
      </w:r>
      <w:r>
        <w:fldChar w:fldCharType="separate"/>
      </w:r>
      <w:r>
        <w:t>22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_Toc22472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8 </w:t>
      </w:r>
      <w:r>
        <w:rPr>
          <w:rFonts w:hint="eastAsia" w:asciiTheme="minorEastAsia" w:hAnsiTheme="minorEastAsia" w:eastAsiaTheme="minorEastAsia" w:cstheme="minorEastAsia"/>
          <w:szCs w:val="21"/>
        </w:rPr>
        <w:t>发现以前期已做价税分离的业务是属于不能抵扣的情况（如用于员工福利、工会经费、个人消费，以及其他税法规定不能抵扣的情况）如何做账务处理？</w:t>
      </w:r>
      <w:r>
        <w:tab/>
      </w:r>
      <w:r>
        <w:fldChar w:fldCharType="begin"/>
      </w:r>
      <w:r>
        <w:instrText xml:space="preserve"> PAGEREF _Toc22472 \h </w:instrText>
      </w:r>
      <w:r>
        <w:fldChar w:fldCharType="separate"/>
      </w:r>
      <w:r>
        <w:t>23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_Toc19906 </w:instrText>
      </w:r>
      <w:r>
        <w:rPr>
          <w:rFonts w:hint="eastAsia"/>
          <w:szCs w:val="21"/>
        </w:rPr>
        <w:fldChar w:fldCharType="separate"/>
      </w:r>
      <w:r>
        <w:rPr>
          <w:rFonts w:hint="eastAsia" w:asciiTheme="minorEastAsia" w:hAnsiTheme="minorEastAsia" w:eastAsiaTheme="minorEastAsia" w:cstheme="minorEastAsia"/>
          <w:szCs w:val="21"/>
          <w:lang w:val="en-US" w:eastAsia="zh-CN"/>
        </w:rPr>
        <w:t>3.</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9 </w:t>
      </w:r>
      <w:r>
        <w:rPr>
          <w:rFonts w:hint="eastAsia" w:asciiTheme="minorEastAsia" w:hAnsiTheme="minorEastAsia" w:eastAsiaTheme="minorEastAsia" w:cstheme="minorEastAsia"/>
          <w:szCs w:val="21"/>
        </w:rPr>
        <w:t>火车票补单有身份证信息，但票价含手续费，手续费需要价税分离吗？还是扣除后再做分离？</w:t>
      </w:r>
      <w:r>
        <w:tab/>
      </w:r>
      <w:r>
        <w:fldChar w:fldCharType="begin"/>
      </w:r>
      <w:r>
        <w:instrText xml:space="preserve"> PAGEREF _Toc19906 \h </w:instrText>
      </w:r>
      <w:r>
        <w:fldChar w:fldCharType="separate"/>
      </w:r>
      <w:r>
        <w:t>24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_Toc22431 </w:instrText>
      </w:r>
      <w:r>
        <w:rPr>
          <w:rFonts w:hint="eastAsia"/>
          <w:szCs w:val="21"/>
        </w:rPr>
        <w:fldChar w:fldCharType="separate"/>
      </w:r>
      <w:r>
        <w:rPr>
          <w:rFonts w:hint="eastAsia" w:asciiTheme="minorEastAsia" w:hAnsiTheme="minorEastAsia" w:eastAsiaTheme="minorEastAsia" w:cstheme="minorEastAsia"/>
          <w:szCs w:val="21"/>
          <w:lang w:val="en-US" w:eastAsia="zh-CN"/>
        </w:rPr>
        <w:t xml:space="preserve">3.10 </w:t>
      </w:r>
      <w:r>
        <w:rPr>
          <w:rFonts w:hint="eastAsia" w:asciiTheme="minorEastAsia" w:hAnsiTheme="minorEastAsia" w:eastAsiaTheme="minorEastAsia" w:cstheme="minorEastAsia"/>
          <w:szCs w:val="21"/>
        </w:rPr>
        <w:t>关于机票价税分离的问题统一回复</w:t>
      </w:r>
      <w:r>
        <w:tab/>
      </w:r>
      <w:r>
        <w:fldChar w:fldCharType="begin"/>
      </w:r>
      <w:r>
        <w:instrText xml:space="preserve"> PAGEREF _Toc22431 \h </w:instrText>
      </w:r>
      <w:r>
        <w:fldChar w:fldCharType="separate"/>
      </w:r>
      <w:r>
        <w:t>24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_Toc7192 </w:instrText>
      </w:r>
      <w:r>
        <w:rPr>
          <w:rFonts w:hint="eastAsia"/>
          <w:szCs w:val="21"/>
        </w:rPr>
        <w:fldChar w:fldCharType="separate"/>
      </w:r>
      <w:r>
        <w:rPr>
          <w:rFonts w:hint="eastAsia" w:asciiTheme="minorEastAsia" w:hAnsiTheme="minorEastAsia" w:eastAsiaTheme="minorEastAsia" w:cstheme="minorEastAsia"/>
          <w:szCs w:val="21"/>
        </w:rPr>
        <w:t>3</w:t>
      </w:r>
      <w:r>
        <w:rPr>
          <w:rFonts w:hint="eastAsia" w:asciiTheme="minorEastAsia" w:hAnsiTheme="minorEastAsia" w:eastAsiaTheme="minorEastAsia" w:cstheme="minorEastAsia"/>
          <w:szCs w:val="21"/>
          <w:lang w:val="en-US" w:eastAsia="zh-CN"/>
        </w:rPr>
        <w:t xml:space="preserve">.11 </w:t>
      </w:r>
      <w:r>
        <w:rPr>
          <w:rFonts w:hint="eastAsia" w:asciiTheme="minorEastAsia" w:hAnsiTheme="minorEastAsia" w:eastAsiaTheme="minorEastAsia" w:cstheme="minorEastAsia"/>
          <w:szCs w:val="21"/>
        </w:rPr>
        <w:t>异地房产过户增值税特殊账务处理</w:t>
      </w:r>
      <w:r>
        <w:tab/>
      </w:r>
      <w:r>
        <w:fldChar w:fldCharType="begin"/>
      </w:r>
      <w:r>
        <w:instrText xml:space="preserve"> PAGEREF _Toc7192 \h </w:instrText>
      </w:r>
      <w:r>
        <w:fldChar w:fldCharType="separate"/>
      </w:r>
      <w:r>
        <w:t>26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_Toc30765 </w:instrText>
      </w:r>
      <w:r>
        <w:rPr>
          <w:rFonts w:hint="eastAsia"/>
          <w:szCs w:val="21"/>
        </w:rPr>
        <w:fldChar w:fldCharType="separate"/>
      </w:r>
      <w:r>
        <w:rPr>
          <w:rFonts w:hint="eastAsia" w:asciiTheme="minorEastAsia" w:hAnsiTheme="minorEastAsia" w:eastAsiaTheme="minorEastAsia" w:cstheme="minorEastAsia"/>
          <w:bCs/>
          <w:i w:val="0"/>
          <w:caps w:val="0"/>
          <w:spacing w:val="0"/>
          <w:szCs w:val="21"/>
          <w:shd w:val="clear" w:fill="FFFFFF"/>
          <w:lang w:val="en-US" w:eastAsia="zh-CN"/>
        </w:rPr>
        <w:t xml:space="preserve">3.12 </w:t>
      </w:r>
      <w:r>
        <w:rPr>
          <w:rFonts w:hint="eastAsia" w:asciiTheme="minorEastAsia" w:hAnsiTheme="minorEastAsia" w:eastAsiaTheme="minorEastAsia" w:cstheme="minorEastAsia"/>
          <w:bCs/>
          <w:i w:val="0"/>
          <w:caps w:val="0"/>
          <w:spacing w:val="0"/>
          <w:szCs w:val="21"/>
          <w:shd w:val="clear" w:fill="FFFFFF"/>
          <w:lang w:eastAsia="zh-CN"/>
        </w:rPr>
        <w:t>取得航空公司增值税电子普通发票的内容为“</w:t>
      </w:r>
      <w:r>
        <w:rPr>
          <w:rFonts w:hint="eastAsia" w:asciiTheme="minorEastAsia" w:hAnsiTheme="minorEastAsia" w:eastAsiaTheme="minorEastAsia" w:cstheme="minorEastAsia"/>
          <w:bCs/>
          <w:i w:val="0"/>
          <w:caps w:val="0"/>
          <w:spacing w:val="0"/>
          <w:szCs w:val="21"/>
          <w:shd w:val="clear" w:fill="FFFFFF"/>
        </w:rPr>
        <w:t>逾重行李费</w:t>
      </w:r>
      <w:r>
        <w:rPr>
          <w:rFonts w:hint="eastAsia" w:asciiTheme="minorEastAsia" w:hAnsiTheme="minorEastAsia" w:eastAsiaTheme="minorEastAsia" w:cstheme="minorEastAsia"/>
          <w:bCs/>
          <w:i w:val="0"/>
          <w:caps w:val="0"/>
          <w:spacing w:val="0"/>
          <w:szCs w:val="21"/>
          <w:shd w:val="clear" w:fill="FFFFFF"/>
          <w:lang w:eastAsia="zh-CN"/>
        </w:rPr>
        <w:t>”是否可以做价税分离？</w:t>
      </w:r>
      <w:r>
        <w:tab/>
      </w:r>
      <w:r>
        <w:fldChar w:fldCharType="begin"/>
      </w:r>
      <w:r>
        <w:instrText xml:space="preserve"> PAGEREF _Toc30765 \h </w:instrText>
      </w:r>
      <w:r>
        <w:fldChar w:fldCharType="separate"/>
      </w:r>
      <w:r>
        <w:t>27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_Toc14433 </w:instrText>
      </w:r>
      <w:r>
        <w:rPr>
          <w:rFonts w:hint="eastAsia"/>
          <w:szCs w:val="21"/>
        </w:rPr>
        <w:fldChar w:fldCharType="separate"/>
      </w:r>
      <w:r>
        <w:rPr>
          <w:rFonts w:hint="eastAsia" w:asciiTheme="minorEastAsia" w:hAnsiTheme="minorEastAsia" w:cstheme="minorEastAsia"/>
          <w:bCs/>
          <w:i w:val="0"/>
          <w:caps w:val="0"/>
          <w:spacing w:val="0"/>
          <w:szCs w:val="21"/>
          <w:shd w:val="clear" w:fill="FFFFFF"/>
          <w:lang w:val="en-US" w:eastAsia="zh-CN"/>
        </w:rPr>
        <w:t>3.13 目前可抵扣的增值税普通发票还有哪些？</w:t>
      </w:r>
      <w:r>
        <w:tab/>
      </w:r>
      <w:r>
        <w:fldChar w:fldCharType="begin"/>
      </w:r>
      <w:r>
        <w:instrText xml:space="preserve"> PAGEREF _Toc14433 \h </w:instrText>
      </w:r>
      <w:r>
        <w:fldChar w:fldCharType="separate"/>
      </w:r>
      <w:r>
        <w:t>28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_Toc18336 </w:instrText>
      </w:r>
      <w:r>
        <w:rPr>
          <w:rFonts w:hint="eastAsia"/>
          <w:szCs w:val="21"/>
        </w:rPr>
        <w:fldChar w:fldCharType="separate"/>
      </w:r>
      <w:r>
        <w:rPr>
          <w:rFonts w:hint="eastAsia" w:asciiTheme="minorEastAsia" w:hAnsiTheme="minorEastAsia" w:cstheme="minorEastAsia"/>
          <w:bCs/>
          <w:i w:val="0"/>
          <w:caps w:val="0"/>
          <w:spacing w:val="0"/>
          <w:szCs w:val="21"/>
          <w:shd w:val="clear" w:fill="FFFFFF"/>
          <w:lang w:val="en-US" w:eastAsia="zh-CN"/>
        </w:rPr>
        <w:t>3.14 一般纳税人当月取得增值税专用发票并认证完毕后对方公司做了发票作废操作，该发票当月退回开票方，如何入账？</w:t>
      </w:r>
      <w:r>
        <w:tab/>
      </w:r>
      <w:r>
        <w:fldChar w:fldCharType="begin"/>
      </w:r>
      <w:r>
        <w:instrText xml:space="preserve"> PAGEREF _Toc18336 \h </w:instrText>
      </w:r>
      <w:r>
        <w:fldChar w:fldCharType="separate"/>
      </w:r>
      <w:r>
        <w:t>30</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_Toc705 </w:instrText>
      </w:r>
      <w:r>
        <w:rPr>
          <w:rFonts w:hint="eastAsia"/>
          <w:szCs w:val="21"/>
        </w:rPr>
        <w:fldChar w:fldCharType="separate"/>
      </w:r>
      <w:r>
        <w:rPr>
          <w:rFonts w:hint="eastAsia" w:asciiTheme="minorEastAsia" w:hAnsiTheme="minorEastAsia" w:cstheme="minorEastAsia"/>
          <w:bCs/>
          <w:i w:val="0"/>
          <w:caps w:val="0"/>
          <w:spacing w:val="0"/>
          <w:szCs w:val="21"/>
          <w:shd w:val="clear" w:fill="FFFFFF"/>
          <w:lang w:val="en-US" w:eastAsia="zh-CN"/>
        </w:rPr>
        <w:t>3.15 项目2021年3月份转为一般纳税人，现报销的专用发票中有开票日期是2021年1月份的， 是否要做价税分离？</w:t>
      </w:r>
      <w:r>
        <w:tab/>
      </w:r>
      <w:r>
        <w:fldChar w:fldCharType="begin"/>
      </w:r>
      <w:r>
        <w:instrText xml:space="preserve"> PAGEREF _Toc705 \h </w:instrText>
      </w:r>
      <w:r>
        <w:fldChar w:fldCharType="separate"/>
      </w:r>
      <w:r>
        <w:t>30</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_Toc19828 </w:instrText>
      </w:r>
      <w:r>
        <w:rPr>
          <w:rFonts w:hint="eastAsia"/>
          <w:szCs w:val="21"/>
        </w:rPr>
        <w:fldChar w:fldCharType="separate"/>
      </w:r>
      <w:r>
        <w:rPr>
          <w:rFonts w:hint="eastAsia" w:asciiTheme="minorEastAsia" w:hAnsiTheme="minorEastAsia" w:cstheme="minorEastAsia"/>
          <w:bCs/>
          <w:i w:val="0"/>
          <w:caps w:val="0"/>
          <w:spacing w:val="0"/>
          <w:szCs w:val="21"/>
          <w:shd w:val="clear" w:fill="FFFFFF"/>
          <w:lang w:val="en-US" w:eastAsia="zh-CN"/>
        </w:rPr>
        <w:t>3.16 疫情防控期间取得客运免税电子普通发票，是否可以价税分离？</w:t>
      </w:r>
      <w:r>
        <w:tab/>
      </w:r>
      <w:r>
        <w:fldChar w:fldCharType="begin"/>
      </w:r>
      <w:r>
        <w:instrText xml:space="preserve"> PAGEREF _Toc19828 \h </w:instrText>
      </w:r>
      <w:r>
        <w:fldChar w:fldCharType="separate"/>
      </w:r>
      <w:r>
        <w:t>31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_Toc5385 </w:instrText>
      </w:r>
      <w:r>
        <w:rPr>
          <w:rFonts w:hint="eastAsia"/>
          <w:szCs w:val="21"/>
        </w:rPr>
        <w:fldChar w:fldCharType="separate"/>
      </w:r>
      <w:r>
        <w:rPr>
          <w:rFonts w:hint="eastAsia" w:asciiTheme="minorEastAsia" w:hAnsiTheme="minorEastAsia" w:cstheme="minorEastAsia"/>
          <w:bCs/>
          <w:i w:val="0"/>
          <w:caps w:val="0"/>
          <w:spacing w:val="0"/>
          <w:szCs w:val="21"/>
          <w:shd w:val="clear" w:fill="FFFFFF"/>
          <w:lang w:val="en-US" w:eastAsia="zh-CN"/>
        </w:rPr>
        <w:t>3.17 疫情期间根据退税政策申请退还的增值税存量留抵税额和增量留抵税额如何进行账务处理？</w:t>
      </w:r>
      <w:r>
        <w:tab/>
      </w:r>
      <w:r>
        <w:fldChar w:fldCharType="begin"/>
      </w:r>
      <w:r>
        <w:instrText xml:space="preserve"> PAGEREF _Toc5385 \h </w:instrText>
      </w:r>
      <w:r>
        <w:fldChar w:fldCharType="separate"/>
      </w:r>
      <w:r>
        <w:t>31</w:t>
      </w:r>
      <w:r>
        <w:fldChar w:fldCharType="end"/>
      </w:r>
      <w:r>
        <w:rPr>
          <w:rFonts w:hint="eastAsia"/>
          <w:szCs w:val="21"/>
        </w:rPr>
        <w:fldChar w:fldCharType="end"/>
      </w:r>
    </w:p>
    <w:p>
      <w:pPr>
        <w:pStyle w:val="8"/>
        <w:tabs>
          <w:tab w:val="right" w:leader="dot" w:pos="9922"/>
          <w:tab w:val="clear" w:pos="9912"/>
        </w:tabs>
        <w:rPr>
          <w:b/>
          <w:bCs/>
          <w:sz w:val="28"/>
          <w:szCs w:val="28"/>
        </w:rPr>
      </w:pPr>
      <w:r>
        <w:rPr>
          <w:rFonts w:hint="eastAsia"/>
          <w:b/>
          <w:bCs/>
          <w:sz w:val="28"/>
          <w:szCs w:val="28"/>
        </w:rPr>
        <w:fldChar w:fldCharType="begin"/>
      </w:r>
      <w:r>
        <w:rPr>
          <w:rFonts w:hint="eastAsia"/>
          <w:b/>
          <w:bCs/>
          <w:sz w:val="28"/>
          <w:szCs w:val="28"/>
        </w:rPr>
        <w:instrText xml:space="preserve"> HYPERLINK \l _Toc13169 </w:instrText>
      </w:r>
      <w:r>
        <w:rPr>
          <w:rFonts w:hint="eastAsia"/>
          <w:b/>
          <w:bCs/>
          <w:sz w:val="28"/>
          <w:szCs w:val="28"/>
        </w:rPr>
        <w:fldChar w:fldCharType="separate"/>
      </w:r>
      <w:r>
        <w:rPr>
          <w:rFonts w:hint="eastAsia" w:asciiTheme="minorEastAsia" w:hAnsiTheme="minorEastAsia" w:eastAsiaTheme="minorEastAsia" w:cstheme="minorEastAsia"/>
          <w:b/>
          <w:bCs/>
          <w:sz w:val="28"/>
          <w:szCs w:val="28"/>
          <w:lang w:val="en-US" w:eastAsia="zh-CN"/>
        </w:rPr>
        <w:t>4 系统操作类问题</w:t>
      </w:r>
      <w:r>
        <w:rPr>
          <w:b/>
          <w:bCs/>
          <w:sz w:val="28"/>
          <w:szCs w:val="28"/>
        </w:rPr>
        <w:tab/>
      </w:r>
      <w:r>
        <w:rPr>
          <w:b/>
          <w:bCs/>
          <w:sz w:val="28"/>
          <w:szCs w:val="28"/>
        </w:rPr>
        <w:fldChar w:fldCharType="begin"/>
      </w:r>
      <w:r>
        <w:rPr>
          <w:b/>
          <w:bCs/>
          <w:sz w:val="28"/>
          <w:szCs w:val="28"/>
        </w:rPr>
        <w:instrText xml:space="preserve"> PAGEREF _Toc13169 \h </w:instrText>
      </w:r>
      <w:r>
        <w:rPr>
          <w:b/>
          <w:bCs/>
          <w:sz w:val="28"/>
          <w:szCs w:val="28"/>
        </w:rPr>
        <w:fldChar w:fldCharType="separate"/>
      </w:r>
      <w:r>
        <w:rPr>
          <w:b/>
          <w:bCs/>
          <w:sz w:val="28"/>
          <w:szCs w:val="28"/>
        </w:rPr>
        <w:t>32</w:t>
      </w:r>
      <w:r>
        <w:rPr>
          <w:b/>
          <w:bCs/>
          <w:sz w:val="28"/>
          <w:szCs w:val="28"/>
        </w:rPr>
        <w:fldChar w:fldCharType="end"/>
      </w:r>
      <w:r>
        <w:rPr>
          <w:rFonts w:hint="eastAsia"/>
          <w:b/>
          <w:bCs/>
          <w:sz w:val="28"/>
          <w:szCs w:val="28"/>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_Toc29746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1 </w:t>
      </w:r>
      <w:r>
        <w:rPr>
          <w:rFonts w:hint="eastAsia" w:asciiTheme="minorEastAsia" w:hAnsiTheme="minorEastAsia" w:eastAsiaTheme="minorEastAsia" w:cstheme="minorEastAsia"/>
          <w:szCs w:val="21"/>
        </w:rPr>
        <w:t>同一个账套里，两个银行账户之间的资金调拨，使用付款单还是使用收款单生成凭证？</w:t>
      </w:r>
      <w:r>
        <w:tab/>
      </w:r>
      <w:r>
        <w:fldChar w:fldCharType="begin"/>
      </w:r>
      <w:r>
        <w:instrText xml:space="preserve"> PAGEREF _Toc29746 \h </w:instrText>
      </w:r>
      <w:r>
        <w:fldChar w:fldCharType="separate"/>
      </w:r>
      <w:r>
        <w:t>32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_Toc11190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2 </w:t>
      </w:r>
      <w:r>
        <w:rPr>
          <w:rFonts w:hint="eastAsia" w:asciiTheme="minorEastAsia" w:hAnsiTheme="minorEastAsia" w:eastAsiaTheme="minorEastAsia" w:cstheme="minorEastAsia"/>
          <w:szCs w:val="21"/>
        </w:rPr>
        <w:t>需要确认函的二期收费，没有确认函已经录入到收费云，若次月3号前收到或未收到确认函的处理？</w:t>
      </w:r>
      <w:r>
        <w:tab/>
      </w:r>
      <w:r>
        <w:fldChar w:fldCharType="begin"/>
      </w:r>
      <w:r>
        <w:instrText xml:space="preserve"> PAGEREF _Toc11190 \h </w:instrText>
      </w:r>
      <w:r>
        <w:fldChar w:fldCharType="separate"/>
      </w:r>
      <w:r>
        <w:t>32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_Toc28350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3 </w:t>
      </w:r>
      <w:r>
        <w:rPr>
          <w:rFonts w:hint="eastAsia" w:asciiTheme="minorEastAsia" w:hAnsiTheme="minorEastAsia" w:eastAsiaTheme="minorEastAsia" w:cstheme="minorEastAsia"/>
          <w:szCs w:val="21"/>
        </w:rPr>
        <w:t>机关代管理处支付笔数太多，一笔支付金额对应N多个管理处，如果通过付款单生成凭证需要拆分到各个管理处，很麻烦且容易出错，是否有更好的办法？</w:t>
      </w:r>
      <w:r>
        <w:tab/>
      </w:r>
      <w:r>
        <w:fldChar w:fldCharType="begin"/>
      </w:r>
      <w:r>
        <w:instrText xml:space="preserve"> PAGEREF _Toc28350 \h </w:instrText>
      </w:r>
      <w:r>
        <w:fldChar w:fldCharType="separate"/>
      </w:r>
      <w:r>
        <w:t>32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_Toc9240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4 </w:t>
      </w:r>
      <w:r>
        <w:rPr>
          <w:rFonts w:hint="eastAsia" w:asciiTheme="minorEastAsia" w:hAnsiTheme="minorEastAsia" w:eastAsiaTheme="minorEastAsia" w:cstheme="minorEastAsia"/>
          <w:szCs w:val="21"/>
        </w:rPr>
        <w:t>代收代付水电费，如果收到普票，需要把进项转到主营业务成本，这种情况通过费用报销单自动生成的凭证是错误的，需要手工修改，是否有更好的办法。</w:t>
      </w:r>
      <w:r>
        <w:tab/>
      </w:r>
      <w:r>
        <w:fldChar w:fldCharType="begin"/>
      </w:r>
      <w:r>
        <w:instrText xml:space="preserve"> PAGEREF _Toc9240 \h </w:instrText>
      </w:r>
      <w:r>
        <w:fldChar w:fldCharType="separate"/>
      </w:r>
      <w:r>
        <w:t>32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_Toc5929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5 </w:t>
      </w:r>
      <w:r>
        <w:rPr>
          <w:rFonts w:hint="eastAsia" w:asciiTheme="minorEastAsia" w:hAnsiTheme="minorEastAsia" w:eastAsiaTheme="minorEastAsia" w:cstheme="minorEastAsia"/>
          <w:szCs w:val="21"/>
        </w:rPr>
        <w:t>关于三期上线后，发现前期账务处理错误，是否能通过直接调整总账进行更正？</w:t>
      </w:r>
      <w:r>
        <w:tab/>
      </w:r>
      <w:r>
        <w:fldChar w:fldCharType="begin"/>
      </w:r>
      <w:r>
        <w:instrText xml:space="preserve"> PAGEREF _Toc5929 \h </w:instrText>
      </w:r>
      <w:r>
        <w:fldChar w:fldCharType="separate"/>
      </w:r>
      <w:r>
        <w:t>33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_Toc6477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6 </w:t>
      </w:r>
      <w:r>
        <w:rPr>
          <w:rFonts w:hint="eastAsia" w:asciiTheme="minorEastAsia" w:hAnsiTheme="minorEastAsia" w:eastAsiaTheme="minorEastAsia" w:cstheme="minorEastAsia"/>
          <w:szCs w:val="21"/>
        </w:rPr>
        <w:t>天津职能部门报销招标费，收到对方开具集团抬头的普票，可以在天津分报销</w:t>
      </w:r>
      <w:r>
        <w:rPr>
          <w:rFonts w:hint="eastAsia" w:asciiTheme="minorEastAsia" w:hAnsiTheme="minorEastAsia" w:cstheme="minorEastAsia"/>
          <w:szCs w:val="21"/>
          <w:lang w:eastAsia="zh-CN"/>
        </w:rPr>
        <w:t>吗</w:t>
      </w:r>
      <w:r>
        <w:rPr>
          <w:rFonts w:hint="eastAsia" w:asciiTheme="minorEastAsia" w:hAnsiTheme="minorEastAsia" w:eastAsiaTheme="minorEastAsia" w:cstheme="minorEastAsia"/>
          <w:szCs w:val="21"/>
        </w:rPr>
        <w:t>？如果是专票，可以在天津分报销</w:t>
      </w:r>
      <w:r>
        <w:rPr>
          <w:rFonts w:hint="eastAsia" w:asciiTheme="minorEastAsia" w:hAnsiTheme="minorEastAsia" w:cstheme="minorEastAsia"/>
          <w:szCs w:val="21"/>
          <w:lang w:eastAsia="zh-CN"/>
        </w:rPr>
        <w:t>吗</w:t>
      </w:r>
      <w:r>
        <w:rPr>
          <w:rFonts w:hint="eastAsia" w:asciiTheme="minorEastAsia" w:hAnsiTheme="minorEastAsia" w:eastAsiaTheme="minorEastAsia" w:cstheme="minorEastAsia"/>
          <w:szCs w:val="21"/>
        </w:rPr>
        <w:t>？如不可以，该怎么处理？</w:t>
      </w:r>
      <w:r>
        <w:tab/>
      </w:r>
      <w:r>
        <w:fldChar w:fldCharType="begin"/>
      </w:r>
      <w:r>
        <w:instrText xml:space="preserve"> PAGEREF _Toc6477 \h </w:instrText>
      </w:r>
      <w:r>
        <w:fldChar w:fldCharType="separate"/>
      </w:r>
      <w:r>
        <w:t>33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_Toc713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7 </w:t>
      </w:r>
      <w:r>
        <w:rPr>
          <w:rFonts w:hint="eastAsia" w:asciiTheme="minorEastAsia" w:hAnsiTheme="minorEastAsia" w:eastAsiaTheme="minorEastAsia" w:cstheme="minorEastAsia"/>
          <w:szCs w:val="21"/>
        </w:rPr>
        <w:t>税控盘维护年费，在一期报销单选哪个费用类型合适？</w:t>
      </w:r>
      <w:r>
        <w:tab/>
      </w:r>
      <w:r>
        <w:fldChar w:fldCharType="begin"/>
      </w:r>
      <w:r>
        <w:instrText xml:space="preserve"> PAGEREF _Toc713 \h </w:instrText>
      </w:r>
      <w:r>
        <w:fldChar w:fldCharType="separate"/>
      </w:r>
      <w:r>
        <w:t>33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_Toc12492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8 审核三期应单时发现费用项目名称与对方科目内容不一致怎么处理？</w:t>
      </w:r>
      <w:r>
        <w:tab/>
      </w:r>
      <w:r>
        <w:fldChar w:fldCharType="begin"/>
      </w:r>
      <w:r>
        <w:instrText xml:space="preserve"> PAGEREF _Toc12492 \h </w:instrText>
      </w:r>
      <w:r>
        <w:fldChar w:fldCharType="separate"/>
      </w:r>
      <w:r>
        <w:t>34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_Toc30930 </w:instrText>
      </w:r>
      <w:r>
        <w:rPr>
          <w:rFonts w:hint="eastAsia"/>
          <w:szCs w:val="21"/>
        </w:rPr>
        <w:fldChar w:fldCharType="separate"/>
      </w:r>
      <w:r>
        <w:rPr>
          <w:rFonts w:hint="eastAsia" w:asciiTheme="minorEastAsia" w:hAnsiTheme="minorEastAsia" w:eastAsiaTheme="minorEastAsia" w:cstheme="minorEastAsia"/>
          <w:szCs w:val="21"/>
          <w:lang w:val="en-US" w:eastAsia="zh-CN"/>
        </w:rPr>
        <w:t>4.</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9 关于收到保险理赔，再支付给业主的操作</w:t>
      </w:r>
      <w:r>
        <w:tab/>
      </w:r>
      <w:r>
        <w:fldChar w:fldCharType="begin"/>
      </w:r>
      <w:r>
        <w:instrText xml:space="preserve"> PAGEREF _Toc30930 \h </w:instrText>
      </w:r>
      <w:r>
        <w:fldChar w:fldCharType="separate"/>
      </w:r>
      <w:r>
        <w:t>34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_Toc13890 </w:instrText>
      </w:r>
      <w:r>
        <w:rPr>
          <w:rFonts w:hint="eastAsia"/>
          <w:szCs w:val="21"/>
        </w:rPr>
        <w:fldChar w:fldCharType="separate"/>
      </w:r>
      <w:r>
        <w:rPr>
          <w:rFonts w:hint="eastAsia" w:asciiTheme="minorEastAsia" w:hAnsiTheme="minorEastAsia" w:eastAsiaTheme="minorEastAsia" w:cstheme="minorEastAsia"/>
          <w:szCs w:val="21"/>
          <w:lang w:val="en-US" w:eastAsia="zh-CN"/>
        </w:rPr>
        <w:t>4.10 大区职能部门取得的社商收入，有收款单，但无法录入收费云系统，如何进行账务处理？</w:t>
      </w:r>
      <w:r>
        <w:tab/>
      </w:r>
      <w:r>
        <w:fldChar w:fldCharType="begin"/>
      </w:r>
      <w:r>
        <w:instrText xml:space="preserve"> PAGEREF _Toc13890 \h </w:instrText>
      </w:r>
      <w:r>
        <w:fldChar w:fldCharType="separate"/>
      </w:r>
      <w:r>
        <w:t>34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_Toc16903 </w:instrText>
      </w:r>
      <w:r>
        <w:rPr>
          <w:rFonts w:hint="eastAsia"/>
          <w:szCs w:val="21"/>
        </w:rPr>
        <w:fldChar w:fldCharType="separate"/>
      </w:r>
      <w:r>
        <w:rPr>
          <w:rFonts w:hint="eastAsia" w:asciiTheme="minorEastAsia" w:hAnsiTheme="minorEastAsia" w:eastAsiaTheme="minorEastAsia" w:cstheme="minorEastAsia"/>
          <w:bCs/>
          <w:i w:val="0"/>
          <w:caps w:val="0"/>
          <w:spacing w:val="0"/>
          <w:szCs w:val="21"/>
          <w:shd w:val="clear" w:fill="FFFFFF"/>
          <w:lang w:val="en-US" w:eastAsia="zh-CN"/>
        </w:rPr>
        <w:t xml:space="preserve">4.11 </w:t>
      </w:r>
      <w:r>
        <w:rPr>
          <w:rFonts w:hint="eastAsia" w:asciiTheme="minorEastAsia" w:hAnsiTheme="minorEastAsia" w:eastAsiaTheme="minorEastAsia" w:cstheme="minorEastAsia"/>
          <w:bCs/>
          <w:i w:val="0"/>
          <w:caps w:val="0"/>
          <w:spacing w:val="0"/>
          <w:szCs w:val="21"/>
          <w:shd w:val="clear" w:fill="FFFFFF"/>
          <w:lang w:eastAsia="zh-CN"/>
        </w:rPr>
        <w:t>关于集团统一采购，大区分别报销，各项目账套分摊费用的账务处理</w:t>
      </w:r>
      <w:r>
        <w:tab/>
      </w:r>
      <w:r>
        <w:fldChar w:fldCharType="begin"/>
      </w:r>
      <w:r>
        <w:instrText xml:space="preserve"> PAGEREF _Toc16903 \h </w:instrText>
      </w:r>
      <w:r>
        <w:fldChar w:fldCharType="separate"/>
      </w:r>
      <w:r>
        <w:t>34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_Toc5005 </w:instrText>
      </w:r>
      <w:r>
        <w:rPr>
          <w:rFonts w:hint="eastAsia"/>
          <w:szCs w:val="21"/>
        </w:rPr>
        <w:fldChar w:fldCharType="separate"/>
      </w:r>
      <w:r>
        <w:rPr>
          <w:rFonts w:hint="eastAsia" w:asciiTheme="minorEastAsia" w:hAnsiTheme="minorEastAsia" w:eastAsiaTheme="minorEastAsia" w:cstheme="minorEastAsia"/>
          <w:bCs/>
          <w:szCs w:val="21"/>
          <w:lang w:val="en-US" w:eastAsia="zh-CN"/>
        </w:rPr>
        <w:t xml:space="preserve">4.12 </w:t>
      </w:r>
      <w:r>
        <w:rPr>
          <w:rFonts w:hint="eastAsia" w:asciiTheme="minorEastAsia" w:hAnsiTheme="minorEastAsia" w:eastAsiaTheme="minorEastAsia" w:cstheme="minorEastAsia"/>
          <w:bCs/>
          <w:i w:val="0"/>
          <w:caps w:val="0"/>
          <w:spacing w:val="0"/>
          <w:szCs w:val="21"/>
          <w:shd w:val="clear" w:fill="FFFFFF"/>
          <w:lang w:eastAsia="zh-CN"/>
        </w:rPr>
        <w:t>房产费用报销操作指引</w:t>
      </w:r>
      <w:r>
        <w:tab/>
      </w:r>
      <w:r>
        <w:fldChar w:fldCharType="begin"/>
      </w:r>
      <w:r>
        <w:instrText xml:space="preserve"> PAGEREF _Toc5005 \h </w:instrText>
      </w:r>
      <w:r>
        <w:fldChar w:fldCharType="separate"/>
      </w:r>
      <w:r>
        <w:t>34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_Toc14341 </w:instrText>
      </w:r>
      <w:r>
        <w:rPr>
          <w:rFonts w:hint="eastAsia"/>
          <w:szCs w:val="21"/>
        </w:rPr>
        <w:fldChar w:fldCharType="separate"/>
      </w:r>
      <w:r>
        <w:rPr>
          <w:rFonts w:hint="eastAsia" w:asciiTheme="minorEastAsia" w:hAnsiTheme="minorEastAsia" w:eastAsiaTheme="minorEastAsia" w:cstheme="minorEastAsia"/>
          <w:bCs/>
          <w:szCs w:val="21"/>
          <w:lang w:val="en-US" w:eastAsia="zh-CN"/>
        </w:rPr>
        <w:t>4.13 总部代各个项目支付的管家手机话费，因实际报销涉及往来账套太多，因此报销单没有生成凭证而是手工导入凭证，是否有其他办法解决报销单生成凭证问题？</w:t>
      </w:r>
      <w:r>
        <w:tab/>
      </w:r>
      <w:r>
        <w:fldChar w:fldCharType="begin"/>
      </w:r>
      <w:r>
        <w:instrText xml:space="preserve"> PAGEREF _Toc14341 \h </w:instrText>
      </w:r>
      <w:r>
        <w:fldChar w:fldCharType="separate"/>
      </w:r>
      <w:r>
        <w:t>36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_Toc10098 </w:instrText>
      </w:r>
      <w:r>
        <w:rPr>
          <w:rFonts w:hint="eastAsia"/>
          <w:szCs w:val="21"/>
        </w:rPr>
        <w:fldChar w:fldCharType="separate"/>
      </w:r>
      <w:r>
        <w:rPr>
          <w:rFonts w:hint="eastAsia" w:asciiTheme="minorEastAsia" w:hAnsiTheme="minorEastAsia" w:eastAsiaTheme="minorEastAsia" w:cstheme="minorEastAsia"/>
          <w:szCs w:val="21"/>
          <w:lang w:val="en-US" w:eastAsia="zh-CN"/>
        </w:rPr>
        <w:t xml:space="preserve">4.14 </w:t>
      </w:r>
      <w:r>
        <w:rPr>
          <w:rFonts w:hint="eastAsia" w:asciiTheme="minorEastAsia" w:hAnsiTheme="minorEastAsia" w:eastAsiaTheme="minorEastAsia" w:cstheme="minorEastAsia"/>
          <w:szCs w:val="21"/>
        </w:rPr>
        <w:t>对属于营业外支出性质的支出项目（如赔款、罚款等）不能在EAS系统一期中添加费用类型，那么如何走报销程序？</w:t>
      </w:r>
      <w:r>
        <w:tab/>
      </w:r>
      <w:r>
        <w:fldChar w:fldCharType="begin"/>
      </w:r>
      <w:r>
        <w:instrText xml:space="preserve"> PAGEREF _Toc10098 \h </w:instrText>
      </w:r>
      <w:r>
        <w:fldChar w:fldCharType="separate"/>
      </w:r>
      <w:r>
        <w:t>37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_Toc2782 </w:instrText>
      </w:r>
      <w:r>
        <w:rPr>
          <w:rFonts w:hint="eastAsia"/>
          <w:szCs w:val="21"/>
        </w:rPr>
        <w:fldChar w:fldCharType="separate"/>
      </w:r>
      <w:r>
        <w:rPr>
          <w:rFonts w:hint="eastAsia" w:asciiTheme="minorEastAsia" w:hAnsiTheme="minorEastAsia" w:cstheme="minorEastAsia"/>
          <w:bCs/>
          <w:szCs w:val="21"/>
          <w:shd w:val="clear" w:color="auto" w:fill="FFFFFF"/>
          <w:lang w:val="en-US" w:eastAsia="zh-CN"/>
        </w:rPr>
        <w:t>4.15 对于赔款时未确定有保险理赔，在后期收到保险理赔如何操作？</w:t>
      </w:r>
      <w:r>
        <w:tab/>
      </w:r>
      <w:r>
        <w:fldChar w:fldCharType="begin"/>
      </w:r>
      <w:r>
        <w:instrText xml:space="preserve"> PAGEREF _Toc2782 \h </w:instrText>
      </w:r>
      <w:r>
        <w:fldChar w:fldCharType="separate"/>
      </w:r>
      <w:r>
        <w:t>37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_Toc13042 </w:instrText>
      </w:r>
      <w:r>
        <w:rPr>
          <w:rFonts w:hint="eastAsia"/>
          <w:szCs w:val="21"/>
        </w:rPr>
        <w:fldChar w:fldCharType="separate"/>
      </w:r>
      <w:r>
        <w:rPr>
          <w:rFonts w:hint="eastAsia" w:asciiTheme="minorEastAsia" w:hAnsiTheme="minorEastAsia" w:cstheme="minorEastAsia"/>
          <w:bCs/>
          <w:szCs w:val="21"/>
          <w:shd w:val="clear" w:color="auto" w:fill="FFFFFF"/>
          <w:lang w:val="en-US" w:eastAsia="zh-CN"/>
        </w:rPr>
        <w:t>4.16 分公司收到酬金制项目款，需要转回酬金制共管账户，如何操作？</w:t>
      </w:r>
      <w:r>
        <w:tab/>
      </w:r>
      <w:r>
        <w:fldChar w:fldCharType="begin"/>
      </w:r>
      <w:r>
        <w:instrText xml:space="preserve"> PAGEREF _Toc13042 \h </w:instrText>
      </w:r>
      <w:r>
        <w:fldChar w:fldCharType="separate"/>
      </w:r>
      <w:r>
        <w:t>37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_Toc19809 </w:instrText>
      </w:r>
      <w:r>
        <w:rPr>
          <w:rFonts w:hint="eastAsia"/>
          <w:szCs w:val="21"/>
        </w:rPr>
        <w:fldChar w:fldCharType="separate"/>
      </w:r>
      <w:r>
        <w:rPr>
          <w:rFonts w:hint="eastAsia" w:asciiTheme="minorEastAsia" w:hAnsiTheme="minorEastAsia" w:cstheme="minorEastAsia"/>
          <w:bCs/>
          <w:szCs w:val="21"/>
          <w:shd w:val="clear" w:color="auto" w:fill="FFFFFF"/>
          <w:lang w:val="en-US" w:eastAsia="zh-CN"/>
        </w:rPr>
        <w:t>4.17 固定资产购入后，使用了一段时间再生成固定资产卡片，怎么处理入账前应计提的折旧问题？</w:t>
      </w:r>
      <w:r>
        <w:tab/>
      </w:r>
      <w:r>
        <w:fldChar w:fldCharType="begin"/>
      </w:r>
      <w:r>
        <w:instrText xml:space="preserve"> PAGEREF _Toc19809 \h </w:instrText>
      </w:r>
      <w:r>
        <w:fldChar w:fldCharType="separate"/>
      </w:r>
      <w:r>
        <w:t>37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_Toc26880 </w:instrText>
      </w:r>
      <w:r>
        <w:rPr>
          <w:rFonts w:hint="eastAsia"/>
          <w:szCs w:val="21"/>
        </w:rPr>
        <w:fldChar w:fldCharType="separate"/>
      </w:r>
      <w:r>
        <w:rPr>
          <w:rFonts w:hint="eastAsia" w:asciiTheme="minorEastAsia" w:hAnsiTheme="minorEastAsia" w:cstheme="minorEastAsia"/>
          <w:bCs/>
          <w:szCs w:val="21"/>
          <w:shd w:val="clear" w:color="auto" w:fill="FFFFFF"/>
          <w:lang w:val="en-US" w:eastAsia="zh-CN"/>
        </w:rPr>
        <w:t>4.18 一期营业外支出-赔偿金报销事项说明</w:t>
      </w:r>
      <w:r>
        <w:tab/>
      </w:r>
      <w:r>
        <w:fldChar w:fldCharType="begin"/>
      </w:r>
      <w:r>
        <w:instrText xml:space="preserve"> PAGEREF _Toc26880 \h </w:instrText>
      </w:r>
      <w:r>
        <w:fldChar w:fldCharType="separate"/>
      </w:r>
      <w:r>
        <w:t>38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_Toc11406 </w:instrText>
      </w:r>
      <w:r>
        <w:rPr>
          <w:rFonts w:hint="eastAsia"/>
          <w:szCs w:val="21"/>
        </w:rPr>
        <w:fldChar w:fldCharType="separate"/>
      </w:r>
      <w:r>
        <w:rPr>
          <w:rFonts w:hint="eastAsia" w:asciiTheme="minorEastAsia" w:hAnsiTheme="minorEastAsia" w:cstheme="minorEastAsia"/>
          <w:bCs/>
          <w:szCs w:val="21"/>
          <w:shd w:val="clear" w:color="auto" w:fill="FFFFFF"/>
          <w:lang w:val="en-US" w:eastAsia="zh-CN"/>
        </w:rPr>
        <w:t>4.19 关于通过一期系统对外支付押金、保证金借款及后期还款事项的操作说明</w:t>
      </w:r>
      <w:r>
        <w:tab/>
      </w:r>
      <w:r>
        <w:fldChar w:fldCharType="begin"/>
      </w:r>
      <w:r>
        <w:instrText xml:space="preserve"> PAGEREF _Toc11406 \h </w:instrText>
      </w:r>
      <w:r>
        <w:fldChar w:fldCharType="separate"/>
      </w:r>
      <w:r>
        <w:t>38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_Toc22802 </w:instrText>
      </w:r>
      <w:r>
        <w:rPr>
          <w:rFonts w:hint="eastAsia"/>
          <w:szCs w:val="21"/>
        </w:rPr>
        <w:fldChar w:fldCharType="separate"/>
      </w:r>
      <w:r>
        <w:rPr>
          <w:rFonts w:hint="eastAsia" w:asciiTheme="minorEastAsia" w:hAnsiTheme="minorEastAsia" w:cstheme="minorEastAsia"/>
          <w:bCs/>
          <w:szCs w:val="21"/>
          <w:shd w:val="clear" w:color="auto" w:fill="FFFFFF"/>
          <w:lang w:val="en-US" w:eastAsia="zh-CN"/>
        </w:rPr>
        <w:t>4.20 关于一期、三期系统取消长期待摊费用项目后的操作说明</w:t>
      </w:r>
      <w:r>
        <w:tab/>
      </w:r>
      <w:r>
        <w:fldChar w:fldCharType="begin"/>
      </w:r>
      <w:r>
        <w:instrText xml:space="preserve"> PAGEREF _Toc22802 \h </w:instrText>
      </w:r>
      <w:r>
        <w:fldChar w:fldCharType="separate"/>
      </w:r>
      <w:r>
        <w:t>39</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_Toc32430 </w:instrText>
      </w:r>
      <w:r>
        <w:rPr>
          <w:rFonts w:hint="eastAsia"/>
          <w:szCs w:val="21"/>
        </w:rPr>
        <w:fldChar w:fldCharType="separate"/>
      </w:r>
      <w:r>
        <w:rPr>
          <w:rFonts w:hint="eastAsia" w:asciiTheme="minorEastAsia" w:hAnsiTheme="minorEastAsia" w:cstheme="minorEastAsia"/>
          <w:bCs/>
          <w:szCs w:val="21"/>
          <w:lang w:val="en-US" w:eastAsia="zh-CN"/>
        </w:rPr>
        <w:t>4.21 华北大区社区商业事业部要报销特约服务费，请问可以添加销售费用-特约服务这个科目么？</w:t>
      </w:r>
      <w:r>
        <w:tab/>
      </w:r>
      <w:r>
        <w:fldChar w:fldCharType="begin"/>
      </w:r>
      <w:r>
        <w:instrText xml:space="preserve"> PAGEREF _Toc32430 \h </w:instrText>
      </w:r>
      <w:r>
        <w:fldChar w:fldCharType="separate"/>
      </w:r>
      <w:r>
        <w:t>41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_Toc6731 </w:instrText>
      </w:r>
      <w:r>
        <w:rPr>
          <w:rFonts w:hint="eastAsia"/>
          <w:szCs w:val="21"/>
        </w:rPr>
        <w:fldChar w:fldCharType="separate"/>
      </w:r>
      <w:r>
        <w:rPr>
          <w:rFonts w:hint="eastAsia" w:asciiTheme="minorEastAsia" w:hAnsiTheme="minorEastAsia" w:cstheme="minorEastAsia"/>
          <w:bCs/>
          <w:szCs w:val="21"/>
          <w:lang w:val="en-US" w:eastAsia="zh-CN"/>
        </w:rPr>
        <w:t>4.22 管理处向水务公司支付的水费中有垃圾清运费，而管理处没有向业主收取该清运费，报销时如何操作？（2021-4-13修改费用代收代付费用类型）</w:t>
      </w:r>
      <w:r>
        <w:tab/>
      </w:r>
      <w:r>
        <w:fldChar w:fldCharType="begin"/>
      </w:r>
      <w:r>
        <w:instrText xml:space="preserve"> PAGEREF _Toc6731 \h </w:instrText>
      </w:r>
      <w:r>
        <w:fldChar w:fldCharType="separate"/>
      </w:r>
      <w:r>
        <w:t>41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_Toc14423 </w:instrText>
      </w:r>
      <w:r>
        <w:rPr>
          <w:rFonts w:hint="eastAsia"/>
          <w:szCs w:val="21"/>
        </w:rPr>
        <w:fldChar w:fldCharType="separate"/>
      </w:r>
      <w:r>
        <w:rPr>
          <w:rFonts w:hint="eastAsia" w:asciiTheme="minorEastAsia" w:hAnsiTheme="minorEastAsia" w:cstheme="minorEastAsia"/>
          <w:bCs/>
          <w:szCs w:val="21"/>
          <w:lang w:val="en-US" w:eastAsia="zh-CN"/>
        </w:rPr>
        <w:t>4.23 向第三方转让应收账款后，收费云系统操作注意事项</w:t>
      </w:r>
      <w:r>
        <w:tab/>
      </w:r>
      <w:r>
        <w:fldChar w:fldCharType="begin"/>
      </w:r>
      <w:r>
        <w:instrText xml:space="preserve"> PAGEREF _Toc14423 \h </w:instrText>
      </w:r>
      <w:r>
        <w:fldChar w:fldCharType="separate"/>
      </w:r>
      <w:r>
        <w:t>41</w:t>
      </w:r>
      <w:r>
        <w:fldChar w:fldCharType="end"/>
      </w:r>
      <w:r>
        <w:rPr>
          <w:rFonts w:hint="eastAsia"/>
          <w:szCs w:val="21"/>
        </w:rPr>
        <w:fldChar w:fldCharType="end"/>
      </w:r>
    </w:p>
    <w:p>
      <w:pPr>
        <w:pStyle w:val="8"/>
        <w:tabs>
          <w:tab w:val="right" w:leader="dot" w:pos="9922"/>
          <w:tab w:val="clear" w:pos="9912"/>
        </w:tabs>
        <w:rPr>
          <w:b/>
          <w:bCs/>
          <w:sz w:val="28"/>
          <w:szCs w:val="28"/>
        </w:rPr>
      </w:pPr>
      <w:r>
        <w:rPr>
          <w:rFonts w:hint="eastAsia"/>
          <w:b/>
          <w:bCs/>
          <w:sz w:val="28"/>
          <w:szCs w:val="28"/>
        </w:rPr>
        <w:fldChar w:fldCharType="begin"/>
      </w:r>
      <w:r>
        <w:rPr>
          <w:rFonts w:hint="eastAsia"/>
          <w:b/>
          <w:bCs/>
          <w:sz w:val="28"/>
          <w:szCs w:val="28"/>
        </w:rPr>
        <w:instrText xml:space="preserve"> HYPERLINK \l _Toc2304 </w:instrText>
      </w:r>
      <w:r>
        <w:rPr>
          <w:rFonts w:hint="eastAsia"/>
          <w:b/>
          <w:bCs/>
          <w:sz w:val="28"/>
          <w:szCs w:val="28"/>
        </w:rPr>
        <w:fldChar w:fldCharType="separate"/>
      </w:r>
      <w:r>
        <w:rPr>
          <w:rFonts w:hint="eastAsia" w:asciiTheme="minorEastAsia" w:hAnsiTheme="minorEastAsia" w:eastAsiaTheme="minorEastAsia" w:cstheme="minorEastAsia"/>
          <w:b/>
          <w:bCs/>
          <w:sz w:val="28"/>
          <w:szCs w:val="28"/>
          <w:lang w:val="en-US" w:eastAsia="zh-CN"/>
        </w:rPr>
        <w:t>5 其他问题</w:t>
      </w:r>
      <w:r>
        <w:rPr>
          <w:b/>
          <w:bCs/>
          <w:sz w:val="28"/>
          <w:szCs w:val="28"/>
        </w:rPr>
        <w:tab/>
      </w:r>
      <w:r>
        <w:rPr>
          <w:b/>
          <w:bCs/>
          <w:sz w:val="28"/>
          <w:szCs w:val="28"/>
        </w:rPr>
        <w:fldChar w:fldCharType="begin"/>
      </w:r>
      <w:r>
        <w:rPr>
          <w:b/>
          <w:bCs/>
          <w:sz w:val="28"/>
          <w:szCs w:val="28"/>
        </w:rPr>
        <w:instrText xml:space="preserve"> PAGEREF _Toc2304 \h </w:instrText>
      </w:r>
      <w:r>
        <w:rPr>
          <w:b/>
          <w:bCs/>
          <w:sz w:val="28"/>
          <w:szCs w:val="28"/>
        </w:rPr>
        <w:fldChar w:fldCharType="separate"/>
      </w:r>
      <w:r>
        <w:rPr>
          <w:b/>
          <w:bCs/>
          <w:sz w:val="28"/>
          <w:szCs w:val="28"/>
        </w:rPr>
        <w:t>42</w:t>
      </w:r>
      <w:r>
        <w:rPr>
          <w:b/>
          <w:bCs/>
          <w:sz w:val="28"/>
          <w:szCs w:val="28"/>
        </w:rPr>
        <w:fldChar w:fldCharType="end"/>
      </w:r>
      <w:r>
        <w:rPr>
          <w:rFonts w:hint="eastAsia"/>
          <w:b/>
          <w:bCs/>
          <w:sz w:val="28"/>
          <w:szCs w:val="28"/>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_Toc24137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1 固定资产调拨</w:t>
      </w:r>
      <w:r>
        <w:rPr>
          <w:rFonts w:hint="eastAsia" w:asciiTheme="minorEastAsia" w:hAnsiTheme="minorEastAsia" w:cstheme="minorEastAsia"/>
          <w:szCs w:val="21"/>
          <w:lang w:val="en-US" w:eastAsia="zh-CN"/>
        </w:rPr>
        <w:t>可以按净值入账吗？</w:t>
      </w:r>
      <w:r>
        <w:tab/>
      </w:r>
      <w:r>
        <w:fldChar w:fldCharType="begin"/>
      </w:r>
      <w:r>
        <w:instrText xml:space="preserve"> PAGEREF _Toc24137 \h </w:instrText>
      </w:r>
      <w:r>
        <w:fldChar w:fldCharType="separate"/>
      </w:r>
      <w:r>
        <w:t>42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_Toc29071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2 </w:t>
      </w:r>
      <w:r>
        <w:rPr>
          <w:rFonts w:hint="eastAsia" w:asciiTheme="minorEastAsia" w:hAnsiTheme="minorEastAsia" w:eastAsiaTheme="minorEastAsia" w:cstheme="minorEastAsia"/>
          <w:szCs w:val="21"/>
        </w:rPr>
        <w:t>证明“是否已为客户提供了装修垃圾清运服务”，审计和共享认可什么样的证据？</w:t>
      </w:r>
      <w:r>
        <w:tab/>
      </w:r>
      <w:r>
        <w:fldChar w:fldCharType="begin"/>
      </w:r>
      <w:r>
        <w:instrText xml:space="preserve"> PAGEREF _Toc29071 \h </w:instrText>
      </w:r>
      <w:r>
        <w:fldChar w:fldCharType="separate"/>
      </w:r>
      <w:r>
        <w:t>42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_Toc909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3 </w:t>
      </w:r>
      <w:r>
        <w:rPr>
          <w:rFonts w:hint="eastAsia" w:asciiTheme="minorEastAsia" w:hAnsiTheme="minorEastAsia" w:eastAsiaTheme="minorEastAsia" w:cstheme="minorEastAsia"/>
          <w:szCs w:val="21"/>
        </w:rPr>
        <w:t>如果用其他管理处抬头的发票在一期或三期走了报销，并支付入账了，要如何处理？</w:t>
      </w:r>
      <w:r>
        <w:tab/>
      </w:r>
      <w:r>
        <w:fldChar w:fldCharType="begin"/>
      </w:r>
      <w:r>
        <w:instrText xml:space="preserve"> PAGEREF _Toc909 \h </w:instrText>
      </w:r>
      <w:r>
        <w:fldChar w:fldCharType="separate"/>
      </w:r>
      <w:r>
        <w:t>42</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_Toc6801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4 </w:t>
      </w:r>
      <w:r>
        <w:rPr>
          <w:rFonts w:hint="eastAsia" w:asciiTheme="minorEastAsia" w:hAnsiTheme="minorEastAsia" w:eastAsiaTheme="minorEastAsia" w:cstheme="minorEastAsia"/>
          <w:szCs w:val="21"/>
        </w:rPr>
        <w:t>我们这边对撤场项目怎么定义的？</w:t>
      </w:r>
      <w:r>
        <w:tab/>
      </w:r>
      <w:r>
        <w:fldChar w:fldCharType="begin"/>
      </w:r>
      <w:r>
        <w:instrText xml:space="preserve"> PAGEREF _Toc6801 \h </w:instrText>
      </w:r>
      <w:r>
        <w:fldChar w:fldCharType="separate"/>
      </w:r>
      <w:r>
        <w:t>43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_Toc7489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5 </w:t>
      </w:r>
      <w:r>
        <w:rPr>
          <w:rFonts w:hint="eastAsia" w:asciiTheme="minorEastAsia" w:hAnsiTheme="minorEastAsia" w:eastAsiaTheme="minorEastAsia" w:cstheme="minorEastAsia"/>
          <w:szCs w:val="21"/>
        </w:rPr>
        <w:t>公司收取水电费属于转售行为，为什么账务处理的时候要通过代收代付科目，而不是确认为收入成本？</w:t>
      </w:r>
      <w:r>
        <w:tab/>
      </w:r>
      <w:r>
        <w:fldChar w:fldCharType="begin"/>
      </w:r>
      <w:r>
        <w:instrText xml:space="preserve"> PAGEREF _Toc7489 \h </w:instrText>
      </w:r>
      <w:r>
        <w:fldChar w:fldCharType="separate"/>
      </w:r>
      <w:r>
        <w:t>43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_Toc29163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6 </w:t>
      </w:r>
      <w:r>
        <w:rPr>
          <w:rFonts w:hint="eastAsia" w:asciiTheme="minorEastAsia" w:hAnsiTheme="minorEastAsia" w:eastAsiaTheme="minorEastAsia" w:cstheme="minorEastAsia"/>
          <w:szCs w:val="21"/>
        </w:rPr>
        <w:t>为什么有的收费云凭证推出收电费有销项税有的又没有销项？</w:t>
      </w:r>
      <w:r>
        <w:tab/>
      </w:r>
      <w:r>
        <w:fldChar w:fldCharType="begin"/>
      </w:r>
      <w:r>
        <w:instrText xml:space="preserve"> PAGEREF _Toc29163 \h </w:instrText>
      </w:r>
      <w:r>
        <w:fldChar w:fldCharType="separate"/>
      </w:r>
      <w:r>
        <w:t>43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_Toc492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7 </w:t>
      </w:r>
      <w:r>
        <w:rPr>
          <w:rFonts w:hint="eastAsia" w:asciiTheme="minorEastAsia" w:hAnsiTheme="minorEastAsia" w:eastAsiaTheme="minorEastAsia" w:cstheme="minorEastAsia"/>
          <w:szCs w:val="21"/>
        </w:rPr>
        <w:t>互抵</w:t>
      </w:r>
      <w:r>
        <w:rPr>
          <w:rFonts w:hint="eastAsia" w:asciiTheme="minorEastAsia" w:hAnsiTheme="minorEastAsia" w:eastAsiaTheme="minorEastAsia" w:cstheme="minorEastAsia"/>
          <w:szCs w:val="21"/>
          <w:lang w:eastAsia="zh-CN"/>
        </w:rPr>
        <w:t>业务</w:t>
      </w:r>
      <w:r>
        <w:rPr>
          <w:rFonts w:hint="eastAsia" w:asciiTheme="minorEastAsia" w:hAnsiTheme="minorEastAsia" w:eastAsiaTheme="minorEastAsia" w:cstheme="minorEastAsia"/>
          <w:szCs w:val="21"/>
        </w:rPr>
        <w:t>基本处理原则</w:t>
      </w:r>
      <w:r>
        <w:rPr>
          <w:rFonts w:hint="eastAsia" w:asciiTheme="minorEastAsia" w:hAnsiTheme="minorEastAsia" w:cstheme="minorEastAsia"/>
          <w:szCs w:val="21"/>
          <w:lang w:val="en-US" w:eastAsia="zh-CN"/>
        </w:rPr>
        <w:t>及核算操作指引（2022-4-30修改5.07.02）</w:t>
      </w:r>
      <w:r>
        <w:tab/>
      </w:r>
      <w:r>
        <w:fldChar w:fldCharType="begin"/>
      </w:r>
      <w:r>
        <w:instrText xml:space="preserve"> PAGEREF _Toc492 \h </w:instrText>
      </w:r>
      <w:r>
        <w:fldChar w:fldCharType="separate"/>
      </w:r>
      <w:r>
        <w:t>43</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_Toc31583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 xml:space="preserve">8 </w:t>
      </w:r>
      <w:r>
        <w:rPr>
          <w:rFonts w:hint="eastAsia" w:asciiTheme="minorEastAsia" w:hAnsiTheme="minorEastAsia" w:eastAsiaTheme="minorEastAsia" w:cstheme="minorEastAsia"/>
          <w:szCs w:val="21"/>
        </w:rPr>
        <w:t>关于项目账套如何查找上级机关账套，发票抬头的准确性，以及如何挂内部往来的问题</w:t>
      </w:r>
      <w:r>
        <w:tab/>
      </w:r>
      <w:r>
        <w:fldChar w:fldCharType="begin"/>
      </w:r>
      <w:r>
        <w:instrText xml:space="preserve"> PAGEREF _Toc31583 \h </w:instrText>
      </w:r>
      <w:r>
        <w:fldChar w:fldCharType="separate"/>
      </w:r>
      <w:r>
        <w:t>44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_Toc22611 </w:instrText>
      </w:r>
      <w:r>
        <w:rPr>
          <w:rFonts w:hint="eastAsia"/>
          <w:szCs w:val="21"/>
        </w:rPr>
        <w:fldChar w:fldCharType="separate"/>
      </w:r>
      <w:r>
        <w:rPr>
          <w:rFonts w:hint="eastAsia" w:asciiTheme="minorEastAsia" w:hAnsiTheme="minorEastAsia" w:eastAsiaTheme="minorEastAsia" w:cstheme="minorEastAsia"/>
          <w:szCs w:val="21"/>
          <w:lang w:val="en-US" w:eastAsia="zh-CN"/>
        </w:rPr>
        <w:t>5.</w:t>
      </w:r>
      <w:r>
        <w:rPr>
          <w:rFonts w:hint="eastAsia" w:asciiTheme="minorEastAsia" w:hAnsiTheme="minorEastAsia" w:cstheme="minorEastAsia"/>
          <w:szCs w:val="21"/>
          <w:lang w:val="en-US" w:eastAsia="zh-CN"/>
        </w:rPr>
        <w:t>0</w:t>
      </w:r>
      <w:r>
        <w:rPr>
          <w:rFonts w:hint="eastAsia" w:asciiTheme="minorEastAsia" w:hAnsiTheme="minorEastAsia" w:eastAsiaTheme="minorEastAsia" w:cstheme="minorEastAsia"/>
          <w:szCs w:val="21"/>
          <w:lang w:val="en-US" w:eastAsia="zh-CN"/>
        </w:rPr>
        <w:t>9 关于计提应收管理费坏账准备时坏账年限划分的说明</w:t>
      </w:r>
      <w:r>
        <w:tab/>
      </w:r>
      <w:r>
        <w:fldChar w:fldCharType="begin"/>
      </w:r>
      <w:r>
        <w:instrText xml:space="preserve"> PAGEREF _Toc22611 \h </w:instrText>
      </w:r>
      <w:r>
        <w:fldChar w:fldCharType="separate"/>
      </w:r>
      <w:r>
        <w:t>46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_Toc21626 </w:instrText>
      </w:r>
      <w:r>
        <w:rPr>
          <w:rFonts w:hint="eastAsia"/>
          <w:szCs w:val="21"/>
        </w:rPr>
        <w:fldChar w:fldCharType="separate"/>
      </w:r>
      <w:r>
        <w:rPr>
          <w:rFonts w:hint="eastAsia" w:asciiTheme="minorEastAsia" w:hAnsiTheme="minorEastAsia" w:eastAsiaTheme="minorEastAsia" w:cstheme="minorEastAsia"/>
          <w:bCs/>
          <w:szCs w:val="21"/>
          <w:lang w:val="en-US" w:eastAsia="zh-CN"/>
        </w:rPr>
        <w:t>5.10 诉讼费与律师咨询费的区分</w:t>
      </w:r>
      <w:r>
        <w:tab/>
      </w:r>
      <w:r>
        <w:fldChar w:fldCharType="begin"/>
      </w:r>
      <w:r>
        <w:instrText xml:space="preserve"> PAGEREF _Toc21626 \h </w:instrText>
      </w:r>
      <w:r>
        <w:fldChar w:fldCharType="separate"/>
      </w:r>
      <w:r>
        <w:t>47</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_Toc6700 </w:instrText>
      </w:r>
      <w:r>
        <w:rPr>
          <w:rFonts w:hint="eastAsia"/>
          <w:szCs w:val="21"/>
        </w:rPr>
        <w:fldChar w:fldCharType="separate"/>
      </w:r>
      <w:r>
        <w:rPr>
          <w:rFonts w:hint="eastAsia" w:asciiTheme="minorEastAsia" w:hAnsiTheme="minorEastAsia" w:eastAsiaTheme="minorEastAsia" w:cstheme="minorEastAsia"/>
          <w:bCs/>
          <w:szCs w:val="21"/>
          <w:lang w:val="en-US" w:eastAsia="zh-CN"/>
        </w:rPr>
        <w:t>5.11 工程造价咨询费可以使用公共维修资金支付吗？</w:t>
      </w:r>
      <w:r>
        <w:tab/>
      </w:r>
      <w:r>
        <w:fldChar w:fldCharType="begin"/>
      </w:r>
      <w:r>
        <w:instrText xml:space="preserve"> PAGEREF _Toc6700 \h </w:instrText>
      </w:r>
      <w:r>
        <w:fldChar w:fldCharType="separate"/>
      </w:r>
      <w:r>
        <w:t>48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_Toc276 </w:instrText>
      </w:r>
      <w:r>
        <w:rPr>
          <w:rFonts w:hint="eastAsia"/>
          <w:szCs w:val="21"/>
        </w:rPr>
        <w:fldChar w:fldCharType="separate"/>
      </w:r>
      <w:r>
        <w:rPr>
          <w:rFonts w:hint="eastAsia" w:asciiTheme="minorEastAsia" w:hAnsiTheme="minorEastAsia" w:eastAsiaTheme="minorEastAsia" w:cstheme="minorEastAsia"/>
          <w:bCs/>
          <w:szCs w:val="21"/>
          <w:lang w:val="en-US" w:eastAsia="zh-CN"/>
        </w:rPr>
        <w:t>5.12 物业合同条款中不同的能耗协议对账务处理的影响是什么？</w:t>
      </w:r>
      <w:r>
        <w:tab/>
      </w:r>
      <w:r>
        <w:fldChar w:fldCharType="begin"/>
      </w:r>
      <w:r>
        <w:instrText xml:space="preserve"> PAGEREF _Toc276 \h </w:instrText>
      </w:r>
      <w:r>
        <w:fldChar w:fldCharType="separate"/>
      </w:r>
      <w:r>
        <w:t>48</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_Toc12569 </w:instrText>
      </w:r>
      <w:r>
        <w:rPr>
          <w:rFonts w:hint="eastAsia"/>
          <w:szCs w:val="21"/>
        </w:rPr>
        <w:fldChar w:fldCharType="separate"/>
      </w:r>
      <w:r>
        <w:rPr>
          <w:rFonts w:hint="eastAsia" w:asciiTheme="minorEastAsia" w:hAnsiTheme="minorEastAsia" w:eastAsiaTheme="minorEastAsia" w:cstheme="minorEastAsia"/>
          <w:bCs/>
          <w:szCs w:val="21"/>
          <w:lang w:val="en-US" w:eastAsia="zh-CN"/>
        </w:rPr>
        <w:t>5.13 银行收取的手续费、咨询函等收费如果无法取得发票如何入账？</w:t>
      </w:r>
      <w:r>
        <w:tab/>
      </w:r>
      <w:r>
        <w:fldChar w:fldCharType="begin"/>
      </w:r>
      <w:r>
        <w:instrText xml:space="preserve"> PAGEREF _Toc12569 \h </w:instrText>
      </w:r>
      <w:r>
        <w:fldChar w:fldCharType="separate"/>
      </w:r>
      <w:r>
        <w:t>49</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_Toc3265 </w:instrText>
      </w:r>
      <w:r>
        <w:rPr>
          <w:rFonts w:hint="eastAsia"/>
          <w:szCs w:val="21"/>
        </w:rPr>
        <w:fldChar w:fldCharType="separate"/>
      </w:r>
      <w:r>
        <w:rPr>
          <w:rFonts w:hint="eastAsia" w:asciiTheme="minorEastAsia" w:hAnsiTheme="minorEastAsia" w:eastAsiaTheme="minorEastAsia" w:cstheme="minorEastAsia"/>
          <w:bCs/>
          <w:szCs w:val="21"/>
          <w:lang w:val="en-US" w:eastAsia="zh-CN"/>
        </w:rPr>
        <w:t>5.1</w:t>
      </w:r>
      <w:r>
        <w:rPr>
          <w:rFonts w:hint="eastAsia" w:asciiTheme="minorEastAsia" w:hAnsiTheme="minorEastAsia" w:cstheme="minorEastAsia"/>
          <w:bCs/>
          <w:szCs w:val="21"/>
          <w:lang w:val="en-US" w:eastAsia="zh-CN"/>
        </w:rPr>
        <w:t>4</w:t>
      </w:r>
      <w:r>
        <w:rPr>
          <w:rFonts w:hint="eastAsia" w:asciiTheme="minorEastAsia" w:hAnsiTheme="minorEastAsia" w:eastAsiaTheme="minorEastAsia" w:cstheme="minorEastAsia"/>
          <w:bCs/>
          <w:szCs w:val="21"/>
          <w:lang w:val="en-US" w:eastAsia="zh-CN"/>
        </w:rPr>
        <w:t xml:space="preserve"> </w:t>
      </w:r>
      <w:r>
        <w:rPr>
          <w:rFonts w:hint="eastAsia" w:asciiTheme="minorEastAsia" w:hAnsiTheme="minorEastAsia" w:cstheme="minorEastAsia"/>
          <w:bCs/>
          <w:szCs w:val="21"/>
          <w:lang w:val="en-US" w:eastAsia="zh-CN"/>
        </w:rPr>
        <w:t>关于工程支出记入长期待费用后判定摊销年限的指引</w:t>
      </w:r>
      <w:r>
        <w:tab/>
      </w:r>
      <w:r>
        <w:fldChar w:fldCharType="begin"/>
      </w:r>
      <w:r>
        <w:instrText xml:space="preserve"> PAGEREF _Toc3265 \h </w:instrText>
      </w:r>
      <w:r>
        <w:fldChar w:fldCharType="separate"/>
      </w:r>
      <w:r>
        <w:t>49</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_Toc10453 </w:instrText>
      </w:r>
      <w:r>
        <w:rPr>
          <w:rFonts w:hint="eastAsia"/>
          <w:szCs w:val="21"/>
        </w:rPr>
        <w:fldChar w:fldCharType="separate"/>
      </w:r>
      <w:r>
        <w:rPr>
          <w:rFonts w:hint="eastAsia" w:asciiTheme="minorEastAsia" w:hAnsiTheme="minorEastAsia" w:eastAsiaTheme="minorEastAsia" w:cstheme="minorEastAsia"/>
          <w:bCs/>
          <w:szCs w:val="21"/>
          <w:lang w:val="en-US" w:eastAsia="zh-CN"/>
        </w:rPr>
        <w:t>5.1</w:t>
      </w:r>
      <w:r>
        <w:rPr>
          <w:rFonts w:hint="eastAsia" w:asciiTheme="minorEastAsia" w:hAnsiTheme="minorEastAsia" w:cstheme="minorEastAsia"/>
          <w:bCs/>
          <w:szCs w:val="21"/>
          <w:lang w:val="en-US" w:eastAsia="zh-CN"/>
        </w:rPr>
        <w:t>5</w:t>
      </w:r>
      <w:r>
        <w:rPr>
          <w:rFonts w:hint="eastAsia" w:asciiTheme="minorEastAsia" w:hAnsiTheme="minorEastAsia" w:eastAsiaTheme="minorEastAsia" w:cstheme="minorEastAsia"/>
          <w:bCs/>
          <w:szCs w:val="21"/>
          <w:lang w:val="en-US" w:eastAsia="zh-CN"/>
        </w:rPr>
        <w:t xml:space="preserve"> </w:t>
      </w:r>
      <w:r>
        <w:rPr>
          <w:rFonts w:hint="eastAsia" w:asciiTheme="minorEastAsia" w:hAnsiTheme="minorEastAsia" w:cstheme="minorEastAsia"/>
          <w:bCs/>
          <w:szCs w:val="21"/>
          <w:lang w:val="en-US" w:eastAsia="zh-CN"/>
        </w:rPr>
        <w:t>关于差旅费报销期限的规定</w:t>
      </w:r>
      <w:r>
        <w:tab/>
      </w:r>
      <w:r>
        <w:fldChar w:fldCharType="begin"/>
      </w:r>
      <w:r>
        <w:instrText xml:space="preserve"> PAGEREF _Toc10453 \h </w:instrText>
      </w:r>
      <w:r>
        <w:fldChar w:fldCharType="separate"/>
      </w:r>
      <w:r>
        <w:t>50</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_Toc12517 </w:instrText>
      </w:r>
      <w:r>
        <w:rPr>
          <w:rFonts w:hint="eastAsia"/>
          <w:szCs w:val="21"/>
        </w:rPr>
        <w:fldChar w:fldCharType="separate"/>
      </w:r>
      <w:r>
        <w:rPr>
          <w:rFonts w:hint="eastAsia" w:asciiTheme="minorEastAsia" w:hAnsiTheme="minorEastAsia" w:cstheme="minorEastAsia"/>
          <w:bCs/>
          <w:szCs w:val="21"/>
          <w:lang w:val="en-US" w:eastAsia="zh-CN"/>
        </w:rPr>
        <w:t>5.16 事业部成立时未确认职能组织与基本经营单元的合并范围，但因业务发展需求已发生相关支出，发票抬头为非后期确认的上级合并主体名称，如何报销处理？</w:t>
      </w:r>
      <w:r>
        <w:tab/>
      </w:r>
      <w:r>
        <w:fldChar w:fldCharType="begin"/>
      </w:r>
      <w:r>
        <w:instrText xml:space="preserve"> PAGEREF _Toc12517 \h </w:instrText>
      </w:r>
      <w:r>
        <w:fldChar w:fldCharType="separate"/>
      </w:r>
      <w:r>
        <w:t>50</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_Toc1918 </w:instrText>
      </w:r>
      <w:r>
        <w:rPr>
          <w:rFonts w:hint="eastAsia"/>
          <w:szCs w:val="21"/>
        </w:rPr>
        <w:fldChar w:fldCharType="separate"/>
      </w:r>
      <w:r>
        <w:rPr>
          <w:rFonts w:hint="eastAsia" w:asciiTheme="minorEastAsia" w:hAnsiTheme="minorEastAsia" w:cstheme="minorEastAsia"/>
          <w:bCs/>
          <w:szCs w:val="21"/>
          <w:lang w:val="en-US" w:eastAsia="zh-CN"/>
        </w:rPr>
        <w:t>5.17 “2241.98其他应付款-代收付政府补贴”科目跟“8112.03其他收益-与企业日常活动相关的政府补助”科目的使用区别是什么？</w:t>
      </w:r>
      <w:r>
        <w:tab/>
      </w:r>
      <w:r>
        <w:fldChar w:fldCharType="begin"/>
      </w:r>
      <w:r>
        <w:instrText xml:space="preserve"> PAGEREF _Toc1918 \h </w:instrText>
      </w:r>
      <w:r>
        <w:fldChar w:fldCharType="separate"/>
      </w:r>
      <w:r>
        <w:t>50</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_Toc27721 </w:instrText>
      </w:r>
      <w:r>
        <w:rPr>
          <w:rFonts w:hint="eastAsia"/>
          <w:szCs w:val="21"/>
        </w:rPr>
        <w:fldChar w:fldCharType="separate"/>
      </w:r>
      <w:r>
        <w:rPr>
          <w:rFonts w:hint="eastAsia" w:asciiTheme="minorEastAsia" w:hAnsiTheme="minorEastAsia" w:cstheme="minorEastAsia"/>
          <w:bCs/>
          <w:szCs w:val="21"/>
          <w:lang w:val="en-US" w:eastAsia="zh-CN"/>
        </w:rPr>
        <w:t>5.18 关于建设单位收入确认单据的进一步规范</w:t>
      </w:r>
      <w:r>
        <w:tab/>
      </w:r>
      <w:r>
        <w:fldChar w:fldCharType="begin"/>
      </w:r>
      <w:r>
        <w:instrText xml:space="preserve"> PAGEREF _Toc27721 \h </w:instrText>
      </w:r>
      <w:r>
        <w:fldChar w:fldCharType="separate"/>
      </w:r>
      <w:r>
        <w:t>51</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_Toc9557 </w:instrText>
      </w:r>
      <w:r>
        <w:rPr>
          <w:rFonts w:hint="eastAsia"/>
          <w:szCs w:val="21"/>
        </w:rPr>
        <w:fldChar w:fldCharType="separate"/>
      </w:r>
      <w:r>
        <w:rPr>
          <w:rFonts w:hint="eastAsia" w:asciiTheme="minorEastAsia" w:hAnsiTheme="minorEastAsia" w:cstheme="minorEastAsia"/>
          <w:bCs/>
          <w:szCs w:val="21"/>
          <w:lang w:val="en-US" w:eastAsia="zh-CN"/>
        </w:rPr>
        <w:t>5.19 小业主电费先使用后付款如果电费有盈余，盈余的这部分电费收款，如果结转盈余，是否不用再缴纳销项税了？</w:t>
      </w:r>
      <w:r>
        <w:tab/>
      </w:r>
      <w:r>
        <w:fldChar w:fldCharType="begin"/>
      </w:r>
      <w:r>
        <w:instrText xml:space="preserve"> PAGEREF _Toc9557 \h </w:instrText>
      </w:r>
      <w:r>
        <w:fldChar w:fldCharType="separate"/>
      </w:r>
      <w:r>
        <w:t>54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_Toc8284 </w:instrText>
      </w:r>
      <w:r>
        <w:rPr>
          <w:rFonts w:hint="eastAsia"/>
          <w:szCs w:val="21"/>
        </w:rPr>
        <w:fldChar w:fldCharType="separate"/>
      </w:r>
      <w:r>
        <w:rPr>
          <w:rFonts w:hint="eastAsia" w:asciiTheme="minorEastAsia" w:hAnsiTheme="minorEastAsia" w:cstheme="minorEastAsia"/>
          <w:bCs/>
          <w:szCs w:val="21"/>
          <w:lang w:val="en-US" w:eastAsia="zh-CN"/>
        </w:rPr>
        <w:t>5.20 我司应收建设单位补贴款，建设单位代我司垫付电费，双方已签订债权债务对抵协议，现取得电费发票，请问电费报销的贷方应用那个科目核算？对抵债权债务如何操作？</w:t>
      </w:r>
      <w:r>
        <w:tab/>
      </w:r>
      <w:r>
        <w:fldChar w:fldCharType="begin"/>
      </w:r>
      <w:r>
        <w:instrText xml:space="preserve"> PAGEREF _Toc8284 \h </w:instrText>
      </w:r>
      <w:r>
        <w:fldChar w:fldCharType="separate"/>
      </w:r>
      <w:r>
        <w:t>54</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_Toc26485 </w:instrText>
      </w:r>
      <w:r>
        <w:rPr>
          <w:rFonts w:hint="eastAsia"/>
          <w:szCs w:val="21"/>
        </w:rPr>
        <w:fldChar w:fldCharType="separate"/>
      </w:r>
      <w:r>
        <w:rPr>
          <w:rFonts w:hint="eastAsia" w:asciiTheme="minorEastAsia" w:hAnsiTheme="minorEastAsia" w:cstheme="minorEastAsia"/>
          <w:bCs/>
          <w:szCs w:val="21"/>
          <w:lang w:val="en-US" w:eastAsia="zh-CN"/>
        </w:rPr>
        <w:t>5.21 如何对物业水、电费业务的往来科目进行检查？</w:t>
      </w:r>
      <w:r>
        <w:tab/>
      </w:r>
      <w:r>
        <w:fldChar w:fldCharType="begin"/>
      </w:r>
      <w:r>
        <w:instrText xml:space="preserve"> PAGEREF _Toc26485 \h </w:instrText>
      </w:r>
      <w:r>
        <w:fldChar w:fldCharType="separate"/>
      </w:r>
      <w:r>
        <w:t>55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_Toc10636 </w:instrText>
      </w:r>
      <w:r>
        <w:rPr>
          <w:rFonts w:hint="eastAsia"/>
          <w:szCs w:val="21"/>
        </w:rPr>
        <w:fldChar w:fldCharType="separate"/>
      </w:r>
      <w:r>
        <w:rPr>
          <w:rFonts w:hint="eastAsia" w:asciiTheme="minorEastAsia" w:hAnsiTheme="minorEastAsia" w:cstheme="minorEastAsia"/>
          <w:bCs/>
          <w:szCs w:val="21"/>
          <w:lang w:val="en-US" w:eastAsia="zh-CN"/>
        </w:rPr>
        <w:t>5.22 借款单或报销单实际在当月付款，但生成的凭证日期在次月，如何操作？</w:t>
      </w:r>
      <w:r>
        <w:tab/>
      </w:r>
      <w:r>
        <w:fldChar w:fldCharType="begin"/>
      </w:r>
      <w:r>
        <w:instrText xml:space="preserve"> PAGEREF _Toc10636 \h </w:instrText>
      </w:r>
      <w:r>
        <w:fldChar w:fldCharType="separate"/>
      </w:r>
      <w:r>
        <w:t>55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_Toc7503 </w:instrText>
      </w:r>
      <w:r>
        <w:rPr>
          <w:rFonts w:hint="eastAsia"/>
          <w:szCs w:val="21"/>
        </w:rPr>
        <w:fldChar w:fldCharType="separate"/>
      </w:r>
      <w:r>
        <w:rPr>
          <w:rFonts w:hint="eastAsia" w:asciiTheme="minorEastAsia" w:hAnsiTheme="minorEastAsia" w:cstheme="minorEastAsia"/>
          <w:bCs/>
          <w:szCs w:val="21"/>
          <w:lang w:val="en-US" w:eastAsia="zh-CN"/>
        </w:rPr>
        <w:t>5.23 关于OA付款业务的账务处理</w:t>
      </w:r>
      <w:r>
        <w:tab/>
      </w:r>
      <w:r>
        <w:fldChar w:fldCharType="begin"/>
      </w:r>
      <w:r>
        <w:instrText xml:space="preserve"> PAGEREF _Toc7503 \h </w:instrText>
      </w:r>
      <w:r>
        <w:fldChar w:fldCharType="separate"/>
      </w:r>
      <w:r>
        <w:t>55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_Toc21339 </w:instrText>
      </w:r>
      <w:r>
        <w:rPr>
          <w:rFonts w:hint="eastAsia"/>
          <w:szCs w:val="21"/>
        </w:rPr>
        <w:fldChar w:fldCharType="separate"/>
      </w:r>
      <w:r>
        <w:rPr>
          <w:rFonts w:hint="eastAsia" w:asciiTheme="minorEastAsia" w:hAnsiTheme="minorEastAsia" w:cstheme="minorEastAsia"/>
          <w:bCs/>
          <w:szCs w:val="21"/>
          <w:lang w:val="en-US" w:eastAsia="zh-CN"/>
        </w:rPr>
        <w:t>5.23 撤场项目未收回的履约保证金是否可以结转到机关账套？</w:t>
      </w:r>
      <w:r>
        <w:tab/>
      </w:r>
      <w:r>
        <w:fldChar w:fldCharType="begin"/>
      </w:r>
      <w:r>
        <w:instrText xml:space="preserve"> PAGEREF _Toc21339 \h </w:instrText>
      </w:r>
      <w:r>
        <w:fldChar w:fldCharType="separate"/>
      </w:r>
      <w:r>
        <w:t>55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_Toc32491 </w:instrText>
      </w:r>
      <w:r>
        <w:rPr>
          <w:rFonts w:hint="eastAsia"/>
          <w:szCs w:val="21"/>
        </w:rPr>
        <w:fldChar w:fldCharType="separate"/>
      </w:r>
      <w:r>
        <w:rPr>
          <w:rFonts w:hint="eastAsia" w:asciiTheme="minorEastAsia" w:hAnsiTheme="minorEastAsia" w:cstheme="minorEastAsia"/>
          <w:bCs/>
          <w:szCs w:val="21"/>
          <w:lang w:val="en-US" w:eastAsia="zh-CN"/>
        </w:rPr>
        <w:t>5.24 变更分公司机关账套的注意事项</w:t>
      </w:r>
      <w:r>
        <w:tab/>
      </w:r>
      <w:r>
        <w:fldChar w:fldCharType="begin"/>
      </w:r>
      <w:r>
        <w:instrText xml:space="preserve"> PAGEREF _Toc32491 \h </w:instrText>
      </w:r>
      <w:r>
        <w:fldChar w:fldCharType="separate"/>
      </w:r>
      <w:r>
        <w:t>55</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_Toc19990 </w:instrText>
      </w:r>
      <w:r>
        <w:rPr>
          <w:rFonts w:hint="eastAsia"/>
          <w:szCs w:val="21"/>
        </w:rPr>
        <w:fldChar w:fldCharType="separate"/>
      </w:r>
      <w:r>
        <w:rPr>
          <w:rFonts w:hint="eastAsia" w:ascii="Arial" w:hAnsi="Arial" w:eastAsia="宋体" w:cs="Arial"/>
          <w:bCs/>
          <w:i w:val="0"/>
          <w:caps w:val="0"/>
          <w:spacing w:val="0"/>
          <w:szCs w:val="28"/>
          <w:highlight w:val="none"/>
          <w:shd w:val="clear" w:fill="FFFFFF"/>
          <w:lang w:val="en-US" w:eastAsia="zh-CN"/>
        </w:rPr>
        <w:t>附件：</w:t>
      </w:r>
      <w:r>
        <w:tab/>
      </w:r>
      <w:r>
        <w:fldChar w:fldCharType="begin"/>
      </w:r>
      <w:r>
        <w:instrText xml:space="preserve"> PAGEREF _Toc19990 \h </w:instrText>
      </w:r>
      <w:r>
        <w:fldChar w:fldCharType="separate"/>
      </w:r>
      <w:r>
        <w:t>56</w:t>
      </w:r>
      <w:r>
        <w:fldChar w:fldCharType="end"/>
      </w:r>
      <w:r>
        <w:rPr>
          <w:rFonts w:hint="eastAsia"/>
          <w:szCs w:val="21"/>
        </w:rPr>
        <w:fldChar w:fldCharType="end"/>
      </w:r>
    </w:p>
    <w:p>
      <w:pPr>
        <w:pStyle w:val="8"/>
        <w:tabs>
          <w:tab w:val="right" w:leader="dot" w:pos="9922"/>
          <w:tab w:val="clear" w:pos="9912"/>
        </w:tabs>
      </w:pPr>
      <w:r>
        <w:rPr>
          <w:rFonts w:hint="eastAsia"/>
          <w:szCs w:val="21"/>
        </w:rPr>
        <w:fldChar w:fldCharType="begin"/>
      </w:r>
      <w:r>
        <w:rPr>
          <w:rFonts w:hint="eastAsia"/>
          <w:szCs w:val="21"/>
        </w:rPr>
        <w:instrText xml:space="preserve"> HYPERLINK \l _Toc31287 </w:instrText>
      </w:r>
      <w:r>
        <w:rPr>
          <w:rFonts w:hint="eastAsia"/>
          <w:szCs w:val="21"/>
        </w:rPr>
        <w:fldChar w:fldCharType="separate"/>
      </w:r>
      <w:r>
        <w:rPr>
          <w:rFonts w:hint="eastAsia" w:ascii="Arial" w:hAnsi="Arial" w:eastAsia="宋体" w:cs="Arial"/>
          <w:bCs/>
          <w:i w:val="0"/>
          <w:caps w:val="0"/>
          <w:spacing w:val="0"/>
          <w:szCs w:val="28"/>
          <w:highlight w:val="none"/>
          <w:shd w:val="clear" w:fill="FFFFFF"/>
          <w:lang w:val="en-US" w:eastAsia="zh-CN"/>
        </w:rPr>
        <w:t>维护记录</w:t>
      </w:r>
      <w:r>
        <w:tab/>
      </w:r>
      <w:r>
        <w:fldChar w:fldCharType="begin"/>
      </w:r>
      <w:r>
        <w:instrText xml:space="preserve"> PAGEREF _Toc31287 \h </w:instrText>
      </w:r>
      <w:r>
        <w:fldChar w:fldCharType="separate"/>
      </w:r>
      <w:r>
        <w:t>57</w:t>
      </w:r>
      <w:r>
        <w:fldChar w:fldCharType="end"/>
      </w:r>
      <w:r>
        <w:rPr>
          <w:rFonts w:hint="eastAsia"/>
          <w:szCs w:val="21"/>
        </w:rPr>
        <w:fldChar w:fldCharType="end"/>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szCs w:val="21"/>
        </w:rPr>
      </w:pPr>
      <w:r>
        <w:rPr>
          <w:rFonts w:hint="eastAsia"/>
          <w:szCs w:val="21"/>
        </w:rPr>
        <w:fldChar w:fldCharType="end"/>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eastAsiaTheme="minorEastAsia" w:cstheme="minorEastAsia"/>
          <w:b/>
          <w:bCs/>
          <w:sz w:val="28"/>
          <w:szCs w:val="28"/>
          <w:lang w:val="en-US" w:eastAsia="zh-CN"/>
        </w:rPr>
      </w:pPr>
      <w:bookmarkStart w:id="1" w:name="_Toc21361"/>
      <w:r>
        <w:rPr>
          <w:rFonts w:hint="eastAsia" w:asciiTheme="minorEastAsia" w:hAnsiTheme="minorEastAsia" w:eastAsiaTheme="minorEastAsia" w:cstheme="minorEastAsia"/>
          <w:b/>
          <w:bCs/>
          <w:sz w:val="28"/>
          <w:szCs w:val="28"/>
          <w:lang w:val="en-US" w:eastAsia="zh-CN"/>
        </w:rPr>
        <w:t>1 资产</w:t>
      </w:r>
      <w:r>
        <w:rPr>
          <w:rFonts w:hint="eastAsia" w:asciiTheme="minorEastAsia" w:hAnsiTheme="minorEastAsia" w:cstheme="minorEastAsia"/>
          <w:b/>
          <w:bCs/>
          <w:sz w:val="28"/>
          <w:szCs w:val="28"/>
          <w:lang w:val="en-US" w:eastAsia="zh-CN"/>
        </w:rPr>
        <w:t>、</w:t>
      </w:r>
      <w:r>
        <w:rPr>
          <w:rFonts w:hint="eastAsia" w:asciiTheme="minorEastAsia" w:hAnsiTheme="minorEastAsia" w:eastAsiaTheme="minorEastAsia" w:cstheme="minorEastAsia"/>
          <w:b/>
          <w:bCs/>
          <w:sz w:val="28"/>
          <w:szCs w:val="28"/>
          <w:lang w:val="en-US" w:eastAsia="zh-CN"/>
        </w:rPr>
        <w:t>负债</w:t>
      </w:r>
      <w:r>
        <w:rPr>
          <w:rFonts w:hint="eastAsia" w:asciiTheme="minorEastAsia" w:hAnsiTheme="minorEastAsia" w:cstheme="minorEastAsia"/>
          <w:b/>
          <w:bCs/>
          <w:sz w:val="28"/>
          <w:szCs w:val="28"/>
          <w:lang w:val="en-US" w:eastAsia="zh-CN"/>
        </w:rPr>
        <w:t>及权益</w:t>
      </w:r>
      <w:r>
        <w:rPr>
          <w:rFonts w:hint="eastAsia" w:asciiTheme="minorEastAsia" w:hAnsiTheme="minorEastAsia" w:eastAsiaTheme="minorEastAsia" w:cstheme="minorEastAsia"/>
          <w:b/>
          <w:bCs/>
          <w:sz w:val="28"/>
          <w:szCs w:val="28"/>
          <w:lang w:val="en-US" w:eastAsia="zh-CN"/>
        </w:rPr>
        <w:t>类问题</w:t>
      </w:r>
      <w:bookmarkEnd w:id="1"/>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2" w:name="_Toc25589"/>
      <w:bookmarkStart w:id="3" w:name="_Toc302"/>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sz w:val="21"/>
          <w:szCs w:val="21"/>
        </w:rPr>
        <w:t>购入一辆车，做固定资产卡片的时候，原值部分包含哪些</w:t>
      </w:r>
      <w:bookmarkEnd w:id="2"/>
      <w:bookmarkEnd w:id="3"/>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车辆的原值（不含增值税）、上牌费、车辆购置税、如果买车时同时购买了导航仪、贴膜等配件服务，也应一并算进车辆的原值。</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至于交强险、商业保险、油费这不应作为车辆原值范畴。</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如果不在买车时，而是买车之后，再去另外安装导航仪等，则不应算入车辆原值。</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车辆以后的维修，换轮胎等之类的费用，算入车辆维修费，直接计入当期损益，不计入固定资产，更不可能按照固定资产大修的账务处理重新核算车辆价值。</w:t>
      </w:r>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4" w:name="_Toc4919"/>
      <w:bookmarkStart w:id="5" w:name="_Toc23130"/>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sz w:val="21"/>
          <w:szCs w:val="21"/>
        </w:rPr>
        <w:t>T公司收购公司，收购B公司时约定，收购时B公司账面的应收款在以后收到时应支付给B公司的前股东，账务处理应如何？</w:t>
      </w:r>
      <w:bookmarkEnd w:id="4"/>
      <w:bookmarkEnd w:id="5"/>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假设B公司收购时的报表如下：</w:t>
      </w:r>
    </w:p>
    <w:tbl>
      <w:tblPr>
        <w:tblStyle w:val="11"/>
        <w:tblW w:w="8237" w:type="dxa"/>
        <w:tblInd w:w="93" w:type="dxa"/>
        <w:tblLayout w:type="fixed"/>
        <w:tblCellMar>
          <w:top w:w="0" w:type="dxa"/>
          <w:left w:w="108" w:type="dxa"/>
          <w:bottom w:w="0" w:type="dxa"/>
          <w:right w:w="108" w:type="dxa"/>
        </w:tblCellMar>
      </w:tblPr>
      <w:tblGrid>
        <w:gridCol w:w="2283"/>
        <w:gridCol w:w="2127"/>
        <w:gridCol w:w="1984"/>
        <w:gridCol w:w="1843"/>
      </w:tblGrid>
      <w:tr>
        <w:tblPrEx>
          <w:tblCellMar>
            <w:top w:w="0" w:type="dxa"/>
            <w:left w:w="108" w:type="dxa"/>
            <w:bottom w:w="0" w:type="dxa"/>
            <w:right w:w="108" w:type="dxa"/>
          </w:tblCellMar>
        </w:tblPrEx>
        <w:trPr>
          <w:trHeight w:val="369" w:hRule="atLeast"/>
        </w:trPr>
        <w:tc>
          <w:tcPr>
            <w:tcW w:w="2283" w:type="dxa"/>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科目</w:t>
            </w:r>
          </w:p>
        </w:tc>
        <w:tc>
          <w:tcPr>
            <w:tcW w:w="2127"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金额</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科目</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金额</w:t>
            </w:r>
          </w:p>
        </w:tc>
      </w:tr>
      <w:tr>
        <w:tblPrEx>
          <w:tblCellMar>
            <w:top w:w="0" w:type="dxa"/>
            <w:left w:w="108" w:type="dxa"/>
            <w:bottom w:w="0" w:type="dxa"/>
            <w:right w:w="108" w:type="dxa"/>
          </w:tblCellMar>
        </w:tblPrEx>
        <w:trPr>
          <w:trHeight w:val="369" w:hRule="atLeast"/>
        </w:trPr>
        <w:tc>
          <w:tcPr>
            <w:tcW w:w="2283"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应收账款</w:t>
            </w:r>
          </w:p>
        </w:tc>
        <w:tc>
          <w:tcPr>
            <w:tcW w:w="2127"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50</w:t>
            </w:r>
          </w:p>
        </w:tc>
        <w:tc>
          <w:tcPr>
            <w:tcW w:w="1984"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负债</w:t>
            </w:r>
          </w:p>
        </w:tc>
        <w:tc>
          <w:tcPr>
            <w:tcW w:w="1843"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70</w:t>
            </w:r>
          </w:p>
        </w:tc>
      </w:tr>
      <w:tr>
        <w:tblPrEx>
          <w:tblCellMar>
            <w:top w:w="0" w:type="dxa"/>
            <w:left w:w="108" w:type="dxa"/>
            <w:bottom w:w="0" w:type="dxa"/>
            <w:right w:w="108" w:type="dxa"/>
          </w:tblCellMar>
        </w:tblPrEx>
        <w:trPr>
          <w:trHeight w:val="369" w:hRule="atLeast"/>
        </w:trPr>
        <w:tc>
          <w:tcPr>
            <w:tcW w:w="2283" w:type="dxa"/>
            <w:tcBorders>
              <w:top w:val="nil"/>
              <w:left w:val="single" w:color="auto" w:sz="4" w:space="0"/>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长期资产</w:t>
            </w:r>
          </w:p>
        </w:tc>
        <w:tc>
          <w:tcPr>
            <w:tcW w:w="2127"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150</w:t>
            </w:r>
          </w:p>
        </w:tc>
        <w:tc>
          <w:tcPr>
            <w:tcW w:w="1984"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所有者权益</w:t>
            </w:r>
          </w:p>
        </w:tc>
        <w:tc>
          <w:tcPr>
            <w:tcW w:w="1843" w:type="dxa"/>
            <w:tcBorders>
              <w:top w:val="nil"/>
              <w:left w:val="nil"/>
              <w:bottom w:val="single" w:color="auto" w:sz="4" w:space="0"/>
              <w:right w:val="single" w:color="auto" w:sz="4" w:space="0"/>
            </w:tcBorders>
            <w:shd w:val="clear" w:color="auto" w:fill="auto"/>
            <w:noWrap/>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130</w:t>
            </w:r>
          </w:p>
        </w:tc>
      </w:tr>
    </w:tbl>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假设T公司收购了B公司，转账200。则T公司的账务处理：</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借：长期股权投资         250</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贷：银行存款                    200</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其他应付款-B原股东   50</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6" w:name="_Toc230"/>
      <w:bookmarkStart w:id="7" w:name="_Toc19553"/>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sz w:val="21"/>
          <w:szCs w:val="21"/>
        </w:rPr>
        <w:t>如果收到工伤退款，可以直接冲减成本吗？还是要通过应付职工薪酬核算？</w:t>
      </w:r>
      <w:bookmarkEnd w:id="6"/>
      <w:bookmarkEnd w:id="7"/>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关于深圳地区收到的工伤保险的政府返还，应作为成本的冲减。账务处理如下：</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借：成本-薪酬-工伤负数</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贷：应付职工薪酬负数</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借：应付职工薪酬负数</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借：银行存款</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如果该机关账套下辖的管理处非常多（3个以上），考虑到金额不大，直接在机关账套做账即可，不需要再分摊到各管理处了</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该账务处理的基础为深府办规〔2019〕7号</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8" w:name="_Toc873"/>
      <w:bookmarkStart w:id="9" w:name="_Toc20376"/>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4 </w:t>
      </w:r>
      <w:r>
        <w:rPr>
          <w:rFonts w:hint="eastAsia" w:asciiTheme="minorEastAsia" w:hAnsiTheme="minorEastAsia" w:eastAsiaTheme="minorEastAsia" w:cstheme="minorEastAsia"/>
          <w:sz w:val="21"/>
          <w:szCs w:val="21"/>
        </w:rPr>
        <w:t>酬金制项目，其共管银行账户挂在了机关账套。如果共管账户的资金转移到机关自身的银行账户，账务应作啥处理？</w:t>
      </w:r>
      <w:bookmarkEnd w:id="8"/>
      <w:bookmarkEnd w:id="9"/>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做一般的银行资金往来即可。</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借：银行存款</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贷：银行存款</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这样处理的原理是：</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1.4.1 </w:t>
      </w:r>
      <w:r>
        <w:rPr>
          <w:rFonts w:hint="eastAsia" w:asciiTheme="minorEastAsia" w:hAnsiTheme="minorEastAsia" w:eastAsiaTheme="minorEastAsia" w:cstheme="minorEastAsia"/>
          <w:sz w:val="21"/>
          <w:szCs w:val="21"/>
        </w:rPr>
        <w:t>机关账套的银行账户应归于机关控制，应符合资产的定义：由企业拥有或者控制的。即无论是该账套上的共管账户，还是自身银行账户，只要在机关账套上反映，即默认符合资产定义：本公司拥有或能控制。</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1.4.2 </w:t>
      </w:r>
      <w:r>
        <w:rPr>
          <w:rFonts w:hint="eastAsia" w:asciiTheme="minorEastAsia" w:hAnsiTheme="minorEastAsia" w:eastAsiaTheme="minorEastAsia" w:cstheme="minorEastAsia"/>
          <w:sz w:val="21"/>
          <w:szCs w:val="21"/>
        </w:rPr>
        <w:t>如共管账户上的资金，约定由委托方和本公司共管，缺一方均不能调用。则该共管账户不应挂在机关账套上，应下沉至项目账套。可建议业务财务人员做银行账户平移的申请，银行账户平移的具体操作由资金部负责。</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0" w:name="_Toc7373"/>
      <w:bookmarkStart w:id="11" w:name="_Toc1086"/>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5 </w:t>
      </w:r>
      <w:r>
        <w:rPr>
          <w:rFonts w:hint="eastAsia" w:asciiTheme="minorEastAsia" w:hAnsiTheme="minorEastAsia" w:eastAsiaTheme="minorEastAsia" w:cstheme="minorEastAsia"/>
          <w:sz w:val="21"/>
          <w:szCs w:val="21"/>
        </w:rPr>
        <w:t>机关收到了社保局退回的生育津贴，有一部分支付给了员工，另外有一部分没有给，对于收到的金额入哪个科目？</w:t>
      </w:r>
      <w:bookmarkEnd w:id="10"/>
      <w:bookmarkEnd w:id="11"/>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社保局退回的生育津贴金额，分以下情况处理</w:t>
      </w:r>
    </w:p>
    <w:tbl>
      <w:tblPr>
        <w:tblStyle w:val="11"/>
        <w:tblW w:w="7839" w:type="dxa"/>
        <w:tblInd w:w="93" w:type="dxa"/>
        <w:tblLayout w:type="fixed"/>
        <w:tblCellMar>
          <w:top w:w="0" w:type="dxa"/>
          <w:left w:w="108" w:type="dxa"/>
          <w:bottom w:w="0" w:type="dxa"/>
          <w:right w:w="108" w:type="dxa"/>
        </w:tblCellMar>
      </w:tblPr>
      <w:tblGrid>
        <w:gridCol w:w="3372"/>
        <w:gridCol w:w="4467"/>
      </w:tblGrid>
      <w:tr>
        <w:tblPrEx>
          <w:tblCellMar>
            <w:top w:w="0" w:type="dxa"/>
            <w:left w:w="108" w:type="dxa"/>
            <w:bottom w:w="0" w:type="dxa"/>
            <w:right w:w="108" w:type="dxa"/>
          </w:tblCellMar>
        </w:tblPrEx>
        <w:trPr>
          <w:trHeight w:val="270" w:hRule="atLeast"/>
        </w:trPr>
        <w:tc>
          <w:tcPr>
            <w:tcW w:w="3372"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产期员工工资处理情况</w:t>
            </w:r>
          </w:p>
        </w:tc>
        <w:tc>
          <w:tcPr>
            <w:tcW w:w="4467"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收到退回生育津贴当月</w:t>
            </w:r>
          </w:p>
        </w:tc>
      </w:tr>
      <w:tr>
        <w:tblPrEx>
          <w:tblCellMar>
            <w:top w:w="0" w:type="dxa"/>
            <w:left w:w="108" w:type="dxa"/>
            <w:bottom w:w="0" w:type="dxa"/>
            <w:right w:w="108" w:type="dxa"/>
          </w:tblCellMar>
        </w:tblPrEx>
        <w:trPr>
          <w:trHeight w:val="810" w:hRule="atLeast"/>
        </w:trPr>
        <w:tc>
          <w:tcPr>
            <w:tcW w:w="3372"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以前月支付工资时入其他应收款</w:t>
            </w:r>
          </w:p>
        </w:tc>
        <w:tc>
          <w:tcPr>
            <w:tcW w:w="4467"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冲减其他应收款，差额部分调整工资成本费用（多退部分为红字）</w:t>
            </w:r>
          </w:p>
        </w:tc>
      </w:tr>
      <w:tr>
        <w:tblPrEx>
          <w:tblCellMar>
            <w:top w:w="0" w:type="dxa"/>
            <w:left w:w="108" w:type="dxa"/>
            <w:bottom w:w="0" w:type="dxa"/>
            <w:right w:w="108" w:type="dxa"/>
          </w:tblCellMar>
        </w:tblPrEx>
        <w:trPr>
          <w:trHeight w:val="270" w:hRule="atLeast"/>
        </w:trPr>
        <w:tc>
          <w:tcPr>
            <w:tcW w:w="3372"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以前月支付工资时入成本费用</w:t>
            </w:r>
          </w:p>
        </w:tc>
        <w:tc>
          <w:tcPr>
            <w:tcW w:w="4467"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全部减冲成本费用</w:t>
            </w:r>
          </w:p>
        </w:tc>
      </w:tr>
    </w:tbl>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2" w:name="_Toc13264"/>
      <w:bookmarkStart w:id="13" w:name="_Toc3294"/>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6 </w:t>
      </w:r>
      <w:r>
        <w:rPr>
          <w:rFonts w:hint="eastAsia" w:asciiTheme="minorEastAsia" w:hAnsiTheme="minorEastAsia" w:eastAsiaTheme="minorEastAsia" w:cstheme="minorEastAsia"/>
          <w:sz w:val="21"/>
          <w:szCs w:val="21"/>
        </w:rPr>
        <w:t>机关代支付水电费，项目费用报销单跨月才审批下来，如何做账务处理？</w:t>
      </w:r>
      <w:bookmarkEnd w:id="12"/>
      <w:bookmarkEnd w:id="13"/>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机关付款时挂内部往来；项目挂内部往来，对方科目为“</w:t>
      </w:r>
      <w:r>
        <w:rPr>
          <w:rFonts w:hint="eastAsia" w:asciiTheme="minorEastAsia" w:hAnsiTheme="minorEastAsia" w:eastAsiaTheme="minorEastAsia" w:cstheme="minorEastAsia"/>
          <w:kern w:val="0"/>
          <w:sz w:val="21"/>
          <w:szCs w:val="21"/>
          <w:lang w:eastAsia="zh-CN"/>
        </w:rPr>
        <w:t>预</w:t>
      </w:r>
      <w:r>
        <w:rPr>
          <w:rFonts w:hint="eastAsia" w:asciiTheme="minorEastAsia" w:hAnsiTheme="minorEastAsia" w:eastAsiaTheme="minorEastAsia" w:cstheme="minorEastAsia"/>
          <w:kern w:val="0"/>
          <w:sz w:val="21"/>
          <w:szCs w:val="21"/>
        </w:rPr>
        <w:t>付账款-能耗”；次月项目费用报销单审批通过后生成凭证时，贷方科目为“</w:t>
      </w:r>
      <w:r>
        <w:rPr>
          <w:rFonts w:hint="eastAsia" w:asciiTheme="minorEastAsia" w:hAnsiTheme="minorEastAsia" w:eastAsiaTheme="minorEastAsia" w:cstheme="minorEastAsia"/>
          <w:kern w:val="0"/>
          <w:sz w:val="21"/>
          <w:szCs w:val="21"/>
          <w:lang w:eastAsia="zh-CN"/>
        </w:rPr>
        <w:t>预</w:t>
      </w:r>
      <w:r>
        <w:rPr>
          <w:rFonts w:hint="eastAsia" w:asciiTheme="minorEastAsia" w:hAnsiTheme="minorEastAsia" w:eastAsiaTheme="minorEastAsia" w:cstheme="minorEastAsia"/>
          <w:kern w:val="0"/>
          <w:sz w:val="21"/>
          <w:szCs w:val="21"/>
        </w:rPr>
        <w:t>付账款-能耗”</w:t>
      </w:r>
    </w:p>
    <w:p>
      <w:pPr>
        <w:pStyle w:val="2"/>
        <w:pageBreakBefore w:val="0"/>
        <w:kinsoku/>
        <w:wordWrap/>
        <w:overflowPunct/>
        <w:topLinePunct w:val="0"/>
        <w:autoSpaceDE/>
        <w:autoSpaceDN/>
        <w:bidi w:val="0"/>
        <w:adjustRightInd w:val="0"/>
        <w:snapToGrid w:val="0"/>
        <w:spacing w:before="0" w:after="0" w:line="360" w:lineRule="auto"/>
        <w:textAlignment w:val="auto"/>
        <w:rPr>
          <w:rFonts w:hint="default" w:asciiTheme="minorEastAsia" w:hAnsiTheme="minorEastAsia" w:eastAsiaTheme="minorEastAsia" w:cstheme="minorEastAsia"/>
          <w:sz w:val="21"/>
          <w:szCs w:val="21"/>
          <w:lang w:val="en-US" w:eastAsia="zh-CN"/>
        </w:rPr>
      </w:pPr>
      <w:bookmarkStart w:id="14" w:name="_Toc27569"/>
      <w:bookmarkStart w:id="15" w:name="_Toc6900"/>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7 </w:t>
      </w:r>
      <w:r>
        <w:rPr>
          <w:rFonts w:hint="eastAsia" w:asciiTheme="minorEastAsia" w:hAnsiTheme="minorEastAsia" w:eastAsiaTheme="minorEastAsia" w:cstheme="minorEastAsia"/>
          <w:sz w:val="21"/>
          <w:szCs w:val="21"/>
        </w:rPr>
        <w:t>长期待摊费用入账金额是按工程总金额还是按收到的发票金额？</w:t>
      </w:r>
      <w:bookmarkEnd w:id="14"/>
      <w:bookmarkEnd w:id="15"/>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kinsoku/>
        <w:wordWrap/>
        <w:overflowPunct/>
        <w:topLinePunct w:val="0"/>
        <w:autoSpaceDE/>
        <w:autoSpaceDN/>
        <w:bidi w:val="0"/>
        <w:spacing w:line="360" w:lineRule="auto"/>
        <w:textAlignment w:val="auto"/>
        <w:rPr>
          <w:rFonts w:hint="eastAsia" w:asciiTheme="minorEastAsia" w:hAnsiTheme="minorEastAsia" w:cstheme="minorEastAsia"/>
          <w:sz w:val="21"/>
          <w:szCs w:val="21"/>
          <w:lang w:eastAsia="zh-CN"/>
        </w:rPr>
      </w:pPr>
      <w:r>
        <w:rPr>
          <w:rFonts w:hint="eastAsia" w:asciiTheme="minorEastAsia" w:hAnsiTheme="minorEastAsia" w:eastAsiaTheme="minorEastAsia" w:cstheme="minorEastAsia"/>
          <w:sz w:val="21"/>
          <w:szCs w:val="21"/>
        </w:rPr>
        <w:t>统一按工程</w:t>
      </w:r>
      <w:r>
        <w:rPr>
          <w:rFonts w:hint="eastAsia" w:asciiTheme="minorEastAsia" w:hAnsiTheme="minorEastAsia" w:eastAsiaTheme="minorEastAsia" w:cstheme="minorEastAsia"/>
          <w:sz w:val="21"/>
          <w:szCs w:val="21"/>
          <w:lang w:eastAsia="zh-CN"/>
        </w:rPr>
        <w:t>不含税</w:t>
      </w:r>
      <w:r>
        <w:rPr>
          <w:rFonts w:hint="eastAsia" w:asciiTheme="minorEastAsia" w:hAnsiTheme="minorEastAsia" w:eastAsiaTheme="minorEastAsia" w:cstheme="minorEastAsia"/>
          <w:sz w:val="21"/>
          <w:szCs w:val="21"/>
        </w:rPr>
        <w:t>总金额入账，入账时间为该工程完工结算手续完成日，如工程方分期开出发票的，先通过</w:t>
      </w:r>
      <w:r>
        <w:rPr>
          <w:rFonts w:hint="eastAsia" w:asciiTheme="minorEastAsia" w:hAnsiTheme="minorEastAsia" w:eastAsiaTheme="minorEastAsia" w:cstheme="minorEastAsia"/>
          <w:sz w:val="21"/>
          <w:szCs w:val="21"/>
          <w:lang w:eastAsia="zh-CN"/>
        </w:rPr>
        <w:t>在建工程科目</w:t>
      </w:r>
      <w:r>
        <w:rPr>
          <w:rFonts w:hint="eastAsia" w:asciiTheme="minorEastAsia" w:hAnsiTheme="minorEastAsia" w:eastAsiaTheme="minorEastAsia" w:cstheme="minorEastAsia"/>
          <w:sz w:val="21"/>
          <w:szCs w:val="21"/>
        </w:rPr>
        <w:t>归集，待完</w:t>
      </w:r>
      <w:r>
        <w:rPr>
          <w:rFonts w:hint="eastAsia" w:asciiTheme="minorEastAsia" w:hAnsiTheme="minorEastAsia" w:eastAsiaTheme="minorEastAsia" w:cstheme="minorEastAsia"/>
          <w:sz w:val="21"/>
          <w:szCs w:val="21"/>
          <w:lang w:eastAsia="zh-CN"/>
        </w:rPr>
        <w:t>工</w:t>
      </w:r>
      <w:r>
        <w:rPr>
          <w:rFonts w:hint="eastAsia" w:asciiTheme="minorEastAsia" w:hAnsiTheme="minorEastAsia" w:eastAsiaTheme="minorEastAsia" w:cstheme="minorEastAsia"/>
          <w:sz w:val="21"/>
          <w:szCs w:val="21"/>
        </w:rPr>
        <w:t>日再转入长期待摊费用科目</w:t>
      </w:r>
      <w:r>
        <w:rPr>
          <w:rFonts w:hint="eastAsia" w:asciiTheme="minorEastAsia" w:hAnsiTheme="minorEastAsia" w:cstheme="minorEastAsia"/>
          <w:sz w:val="21"/>
          <w:szCs w:val="21"/>
          <w:lang w:eastAsia="zh-CN"/>
        </w:rPr>
        <w:t>。</w:t>
      </w:r>
    </w:p>
    <w:p>
      <w:pPr>
        <w:pageBreakBefore w:val="0"/>
        <w:kinsoku/>
        <w:wordWrap/>
        <w:overflowPunct/>
        <w:topLinePunct w:val="0"/>
        <w:autoSpaceDE/>
        <w:autoSpaceDN/>
        <w:bidi w:val="0"/>
        <w:spacing w:line="360" w:lineRule="auto"/>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公司《长期待摊费用核算规则》“计入长期待摊费用的工程起点金额原则上应大于5万”，该入账标准指不含税金额应大于或等于5万元。</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default" w:asciiTheme="minorEastAsia" w:hAnsiTheme="minorEastAsia" w:eastAsiaTheme="minorEastAsia" w:cstheme="minorEastAsia"/>
          <w:sz w:val="21"/>
          <w:szCs w:val="21"/>
          <w:lang w:val="en-US" w:eastAsia="zh-CN"/>
        </w:rPr>
      </w:pPr>
      <w:bookmarkStart w:id="16" w:name="_Toc13754"/>
      <w:bookmarkStart w:id="17" w:name="_Toc26047"/>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8 </w:t>
      </w:r>
      <w:r>
        <w:rPr>
          <w:rFonts w:hint="eastAsia" w:asciiTheme="minorEastAsia" w:hAnsiTheme="minorEastAsia" w:eastAsiaTheme="minorEastAsia" w:cstheme="minorEastAsia"/>
          <w:sz w:val="21"/>
          <w:szCs w:val="21"/>
        </w:rPr>
        <w:t>无形资产在没有达到预定可使用状态之前是放在其他非流动资产先进行核算的吗？为什么不是放在研发支出-资本化支出核算呢</w:t>
      </w:r>
      <w:bookmarkEnd w:id="16"/>
      <w:bookmarkEnd w:id="17"/>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rPr>
        <w:t>主要是看情况，如果是我们自行研发的，就放研发支出。如果是购买的，还没达到预定可使用状态之前就放</w:t>
      </w:r>
      <w:r>
        <w:rPr>
          <w:rFonts w:hint="eastAsia" w:asciiTheme="minorEastAsia" w:hAnsiTheme="minorEastAsia" w:cstheme="minorEastAsia"/>
          <w:sz w:val="21"/>
          <w:szCs w:val="21"/>
          <w:lang w:eastAsia="zh-CN"/>
        </w:rPr>
        <w:t>其他非流动资产</w:t>
      </w:r>
      <w:r>
        <w:rPr>
          <w:rFonts w:hint="eastAsia" w:asciiTheme="minorEastAsia" w:hAnsiTheme="minorEastAsia" w:cstheme="minorEastAsia"/>
          <w:sz w:val="21"/>
          <w:szCs w:val="21"/>
          <w:lang w:val="en-US" w:eastAsia="zh-CN"/>
        </w:rPr>
        <w:t>-无形资产科目。</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也就是说：达到预定可使用状态后，要么是从研发支出（自行研发的）转入无形资产，要么是从其他非流动资产（外购的）转入无形资产。</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8" w:name="_Toc25006"/>
      <w:bookmarkStart w:id="19" w:name="_Toc8041"/>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9 </w:t>
      </w:r>
      <w:r>
        <w:rPr>
          <w:rFonts w:hint="eastAsia" w:asciiTheme="minorEastAsia" w:hAnsiTheme="minorEastAsia" w:eastAsiaTheme="minorEastAsia" w:cstheme="minorEastAsia"/>
          <w:sz w:val="21"/>
          <w:szCs w:val="21"/>
        </w:rPr>
        <w:t>集团收购外部公司后，该公司账面应收账款一并平移到EAS（该公司对应新建的）账套，该应收账款有一部分是无法收回的，对于该应收款要如何处理？</w:t>
      </w:r>
      <w:bookmarkEnd w:id="18"/>
      <w:bookmarkEnd w:id="19"/>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收购其他公司股权，对于原公司的债权债务一并打包继承，原公司无法收回的应收账款，按公司核算规则计提坏账准备，对于满足条件的，提供规定的凭证资料后做坏账损失处理。</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cstheme="minorEastAsia"/>
          <w:b/>
          <w:bCs/>
          <w:sz w:val="21"/>
          <w:szCs w:val="21"/>
          <w:lang w:val="en-US" w:eastAsia="zh-CN"/>
        </w:rPr>
      </w:pPr>
      <w:bookmarkStart w:id="20" w:name="_Toc30909"/>
      <w:r>
        <w:rPr>
          <w:rFonts w:hint="eastAsia" w:asciiTheme="minorEastAsia" w:hAnsiTheme="minorEastAsia" w:cstheme="minorEastAsia"/>
          <w:b/>
          <w:bCs/>
          <w:sz w:val="21"/>
          <w:szCs w:val="21"/>
          <w:lang w:val="en-US" w:eastAsia="zh-CN"/>
        </w:rPr>
        <w:t>1.10 收费云收费项目“空置物业费”的预收会计科目没有设置对应的预收账款科目，系统实收的属于以后期间的款账推出了应收账款科目，如何处理？</w:t>
      </w:r>
      <w:bookmarkEnd w:id="20"/>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将应账收账款调整到“2203.08.99预收账款-物业管理-其他”科目，待确认了以后对应期间空置费收入时再结转该预收款。</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sz w:val="21"/>
          <w:szCs w:val="21"/>
          <w:lang w:val="en-US" w:eastAsia="zh-CN"/>
        </w:rPr>
      </w:pPr>
      <w:bookmarkStart w:id="21" w:name="_Toc7294"/>
      <w:r>
        <w:rPr>
          <w:rFonts w:hint="eastAsia" w:asciiTheme="minorEastAsia" w:hAnsiTheme="minorEastAsia" w:cstheme="minorEastAsia"/>
          <w:b/>
          <w:bCs/>
          <w:sz w:val="21"/>
          <w:szCs w:val="21"/>
          <w:lang w:val="en-US" w:eastAsia="zh-CN"/>
        </w:rPr>
        <w:t>1.11 报销金额在2000元以下的长期使用的物品和工器具是否能作为固定资产入账？</w:t>
      </w:r>
      <w:bookmarkEnd w:id="21"/>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根据《长城物业内控手册（2021版）-固定资产管理内控制度》和集团会计核算规则关于固定资产的相关规定，固定资产入账金额标准为</w:t>
      </w:r>
      <w:r>
        <w:rPr>
          <w:rFonts w:hint="eastAsia" w:asciiTheme="minorEastAsia" w:hAnsiTheme="minorEastAsia" w:cstheme="minorEastAsia"/>
          <w:color w:val="FF0000"/>
          <w:sz w:val="21"/>
          <w:szCs w:val="21"/>
          <w:lang w:val="en-US" w:eastAsia="zh-CN"/>
        </w:rPr>
        <w:t>含税金额</w:t>
      </w:r>
      <w:r>
        <w:rPr>
          <w:rFonts w:hint="eastAsia" w:asciiTheme="minorEastAsia" w:hAnsiTheme="minorEastAsia" w:cstheme="minorEastAsia"/>
          <w:sz w:val="21"/>
          <w:szCs w:val="21"/>
          <w:lang w:val="en-US" w:eastAsia="zh-CN"/>
        </w:rPr>
        <w:t>2000元，因此对于资产含税金额在2000元以下的不作为固定资产核算，报销时直接记入相关成本费用损益科目。</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举例：一般纳税人甲管理处因办公需要采购了一台桌子，取得增值税专用发票，其发票金额为2147元，不含税金额1900元。</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分析：该桌子的含税金额2147元，且满足使用年限1年以上，为生产经营而持有，因此该桌子应作为固定资产入账。</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color w:val="auto"/>
          <w:sz w:val="21"/>
          <w:szCs w:val="21"/>
          <w:lang w:val="en-US" w:eastAsia="zh-CN"/>
        </w:rPr>
      </w:pPr>
      <w:bookmarkStart w:id="22" w:name="_Toc6642"/>
      <w:r>
        <w:rPr>
          <w:rFonts w:hint="eastAsia" w:asciiTheme="minorEastAsia" w:hAnsiTheme="minorEastAsia" w:cstheme="minorEastAsia"/>
          <w:b/>
          <w:bCs/>
          <w:color w:val="auto"/>
          <w:sz w:val="21"/>
          <w:szCs w:val="21"/>
          <w:lang w:val="en-US" w:eastAsia="zh-CN"/>
        </w:rPr>
        <w:t>1.12 物业项目开展招标活动收到服务供应商的投标保证金押金如何入账？</w:t>
      </w:r>
      <w:bookmarkEnd w:id="22"/>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我司物业项目开展招标活动收到的服务供应商交来投标保证金作为其他应付款入账，收款时贷方记“2241.01.10.06.10其他应付款-物业管理-押金保证金-其他押金-其他押金”科目，支付时通过一期报销单支付保证金，选择费用类型为“TYFY006代收付项目-其他押金”。</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注意收到供方投标保证金不要跟“2241.01.10.04其他应付款-物业管理-押金保证金-</w:t>
      </w:r>
      <w:r>
        <w:rPr>
          <w:rFonts w:hint="eastAsia" w:asciiTheme="minorEastAsia" w:hAnsiTheme="minorEastAsia" w:cstheme="minorEastAsia"/>
          <w:b/>
          <w:bCs/>
          <w:sz w:val="21"/>
          <w:szCs w:val="21"/>
          <w:lang w:val="en-US" w:eastAsia="zh-CN"/>
        </w:rPr>
        <w:t>陪标保证金</w:t>
      </w:r>
      <w:r>
        <w:rPr>
          <w:rFonts w:hint="eastAsia" w:asciiTheme="minorEastAsia" w:hAnsiTheme="minorEastAsia" w:cstheme="minorEastAsia"/>
          <w:sz w:val="21"/>
          <w:szCs w:val="21"/>
          <w:lang w:val="en-US" w:eastAsia="zh-CN"/>
        </w:rPr>
        <w:t>”科目混淆，该科目核算内容是我司收到的其他公司打给我司用以参加陪标的保证金。</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所谓陪标，就是在某项目进入招投标程序前，招标单位已经确定了意向单位，然后由意向单位根据投标程序要求，联系关系单位参加邀标，以便确保意向单位达到中标目的的举动。</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陪标保证金的收付业务流程：</w:t>
      </w:r>
    </w:p>
    <w:p>
      <w:pPr>
        <w:pageBreakBefore w:val="0"/>
        <w:widowControl w:val="0"/>
        <w:numPr>
          <w:ilvl w:val="0"/>
          <w:numId w:val="1"/>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我司收到意向单位打给我司陪标保证金；</w:t>
      </w:r>
    </w:p>
    <w:p>
      <w:pPr>
        <w:pageBreakBefore w:val="0"/>
        <w:widowControl w:val="0"/>
        <w:numPr>
          <w:ilvl w:val="0"/>
          <w:numId w:val="1"/>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我司用收到的陪标保证金支付给招标单位作为投标保证金；</w:t>
      </w:r>
    </w:p>
    <w:p>
      <w:pPr>
        <w:pageBreakBefore w:val="0"/>
        <w:widowControl w:val="0"/>
        <w:numPr>
          <w:ilvl w:val="0"/>
          <w:numId w:val="1"/>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未中标后招标单位退回保证金给我司；</w:t>
      </w:r>
    </w:p>
    <w:p>
      <w:pPr>
        <w:pageBreakBefore w:val="0"/>
        <w:widowControl w:val="0"/>
        <w:numPr>
          <w:ilvl w:val="0"/>
          <w:numId w:val="1"/>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我司再退陪标保证金给意向单位。</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color w:val="auto"/>
          <w:sz w:val="21"/>
          <w:szCs w:val="21"/>
          <w:lang w:val="en-US" w:eastAsia="zh-CN"/>
        </w:rPr>
      </w:pPr>
      <w:bookmarkStart w:id="23" w:name="_Toc16285"/>
      <w:r>
        <w:rPr>
          <w:rFonts w:hint="eastAsia" w:asciiTheme="minorEastAsia" w:hAnsiTheme="minorEastAsia" w:cstheme="minorEastAsia"/>
          <w:b/>
          <w:bCs/>
          <w:color w:val="auto"/>
          <w:sz w:val="21"/>
          <w:szCs w:val="21"/>
          <w:lang w:val="en-US" w:eastAsia="zh-CN"/>
        </w:rPr>
        <w:t>1.13 “2241.01.24其他应付款-物业管理--代甲方代收代付款项”科目使用注意事项</w:t>
      </w:r>
      <w:bookmarkEnd w:id="23"/>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本科目核算内容为代物业合同甲方（举例：建设单位或业委业）收取的各种款项，所收款项要支付给合同甲方。与我司在履行物业合同义务过程中收取小业主各类款项性质不同的是，代收甲方款项的权属归合同甲方，且该款项的开票义务是合同甲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实际业务中必须同时满足以下条件才可以使用该科目：</w:t>
      </w:r>
    </w:p>
    <w:p>
      <w:pPr>
        <w:pageBreakBefore w:val="0"/>
        <w:widowControl w:val="0"/>
        <w:numPr>
          <w:ilvl w:val="0"/>
          <w:numId w:val="2"/>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款项所有权归合同甲方</w:t>
      </w:r>
    </w:p>
    <w:p>
      <w:pPr>
        <w:pageBreakBefore w:val="0"/>
        <w:widowControl w:val="0"/>
        <w:numPr>
          <w:ilvl w:val="0"/>
          <w:numId w:val="2"/>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开票义务为合同甲方或甲方指定的第三方</w:t>
      </w:r>
    </w:p>
    <w:p>
      <w:pPr>
        <w:pageBreakBefore w:val="0"/>
        <w:widowControl w:val="0"/>
        <w:numPr>
          <w:ilvl w:val="0"/>
          <w:numId w:val="2"/>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上述内容有明确的合同或协议条款</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举例1</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案例：</w:t>
      </w:r>
      <w:r>
        <w:rPr>
          <w:rFonts w:hint="eastAsia" w:ascii="楷体" w:hAnsi="楷体" w:eastAsia="楷体" w:cs="楷体"/>
          <w:sz w:val="21"/>
          <w:szCs w:val="21"/>
          <w:lang w:val="en-US" w:eastAsia="zh-CN"/>
        </w:rPr>
        <w:t>新接一物业小区项目，交接协议中约定上任物业公司将其收到的归属全体业主的公共收益款（如停车租赁费）交给我司。</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分析：</w:t>
      </w:r>
      <w:r>
        <w:rPr>
          <w:rFonts w:hint="eastAsia" w:ascii="楷体" w:hAnsi="楷体" w:eastAsia="楷体" w:cs="楷体"/>
          <w:b w:val="0"/>
          <w:bCs w:val="0"/>
          <w:sz w:val="21"/>
          <w:szCs w:val="21"/>
          <w:lang w:val="en-US" w:eastAsia="zh-CN"/>
        </w:rPr>
        <w:t>上述款项所有权归全体业主且我司不负开票义务，因此收到该款项</w:t>
      </w:r>
      <w:r>
        <w:rPr>
          <w:rFonts w:hint="eastAsia" w:ascii="楷体" w:hAnsi="楷体" w:eastAsia="楷体" w:cs="楷体"/>
          <w:sz w:val="21"/>
          <w:szCs w:val="21"/>
          <w:lang w:val="en-US" w:eastAsia="zh-CN"/>
        </w:rPr>
        <w:t>记入“其他应付款-代甲方代收代付款项”科目；</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举例2：</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案例：</w:t>
      </w:r>
      <w:r>
        <w:rPr>
          <w:rFonts w:hint="eastAsia" w:ascii="楷体" w:hAnsi="楷体" w:eastAsia="楷体" w:cs="楷体"/>
          <w:sz w:val="21"/>
          <w:szCs w:val="21"/>
          <w:lang w:val="en-US" w:eastAsia="zh-CN"/>
        </w:rPr>
        <w:t>物业合同中明确约定，物业公司代合同甲方收取能耗费，且无须向业主开具发票。</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分析：</w:t>
      </w:r>
      <w:r>
        <w:rPr>
          <w:rFonts w:hint="eastAsia" w:ascii="楷体" w:hAnsi="楷体" w:eastAsia="楷体" w:cs="楷体"/>
          <w:sz w:val="21"/>
          <w:szCs w:val="21"/>
          <w:lang w:val="en-US" w:eastAsia="zh-CN"/>
        </w:rPr>
        <w:t>物业合同已明确我司代甲方收款，且我司无须向业主开发票，收到上述款项记入“其他应付款-代甲方代收代付款项”科目。</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举例3：</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案例：</w:t>
      </w:r>
      <w:r>
        <w:rPr>
          <w:rFonts w:hint="eastAsia" w:ascii="楷体" w:hAnsi="楷体" w:eastAsia="楷体" w:cs="楷体"/>
          <w:sz w:val="21"/>
          <w:szCs w:val="21"/>
          <w:lang w:val="en-US" w:eastAsia="zh-CN"/>
        </w:rPr>
        <w:t>物业合同条款约定：物业管理区域内属于全体业主所有的共用部位、共用设施委托乙方经营（即我司），经营收入按下列约定分配：按照业主大会的决定使用，更新改造物业共用部位、共用设施设备，开展有利于业主与物业使用人的经营活动，提升小区物业服务品质。</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后期我司与某广告商签定出租小区广告位的合同，合同约定广告商向我司支付广告费，并由我司向其开出租赁发票。</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楷体" w:hAnsi="楷体" w:eastAsia="楷体" w:cs="楷体"/>
          <w:sz w:val="21"/>
          <w:szCs w:val="21"/>
          <w:lang w:val="en-US" w:eastAsia="zh-CN"/>
        </w:rPr>
      </w:pPr>
      <w:r>
        <w:rPr>
          <w:rFonts w:hint="eastAsia" w:ascii="楷体" w:hAnsi="楷体" w:eastAsia="楷体" w:cs="楷体"/>
          <w:b/>
          <w:bCs/>
          <w:sz w:val="21"/>
          <w:szCs w:val="21"/>
          <w:lang w:val="en-US" w:eastAsia="zh-CN"/>
        </w:rPr>
        <w:t>分析：</w:t>
      </w:r>
      <w:r>
        <w:rPr>
          <w:rFonts w:hint="eastAsia" w:ascii="楷体" w:hAnsi="楷体" w:eastAsia="楷体" w:cs="楷体"/>
          <w:sz w:val="21"/>
          <w:szCs w:val="21"/>
          <w:lang w:val="en-US" w:eastAsia="zh-CN"/>
        </w:rPr>
        <w:t>物业合同未确约定公共收益用于补偿我司经营支出，也未约定与我司的经营分成。但我司负有向广告商开票的义务，且我司需将公共收益全额支付给业委会。因此该业务按“主营业务收入-增值服务-广告”核算，并按100%计提公共收益分成。</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color w:val="auto"/>
          <w:sz w:val="21"/>
          <w:szCs w:val="21"/>
          <w:lang w:val="en-US" w:eastAsia="zh-CN"/>
        </w:rPr>
      </w:pPr>
      <w:bookmarkStart w:id="24" w:name="_Toc11256"/>
      <w:r>
        <w:rPr>
          <w:rFonts w:hint="eastAsia" w:asciiTheme="minorEastAsia" w:hAnsiTheme="minorEastAsia" w:cstheme="minorEastAsia"/>
          <w:b/>
          <w:bCs/>
          <w:color w:val="auto"/>
          <w:sz w:val="21"/>
          <w:szCs w:val="21"/>
          <w:lang w:val="en-US" w:eastAsia="zh-CN"/>
        </w:rPr>
        <w:t>1.14 业委会经费、业主合同专项支出的业务审核要点</w:t>
      </w:r>
      <w:bookmarkEnd w:id="24"/>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业委会与管理处是两个独立的主体，对管理处来说，业委会经费、业主合同专项支出属于代收代付性质，通过“2241.01.15其他应付款-物业管理-业委会/项目委托方”科目核算，该业务在共享一期操作，具体费用类型如下：</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p>
    <w:tbl>
      <w:tblPr>
        <w:tblStyle w:val="11"/>
        <w:tblW w:w="1028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00"/>
        <w:gridCol w:w="1725"/>
        <w:gridCol w:w="1187"/>
        <w:gridCol w:w="1175"/>
        <w:gridCol w:w="1100"/>
        <w:gridCol w:w="1838"/>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400" w:type="dxa"/>
            <w:shd w:val="clear" w:color="auto" w:fill="C7DAF1" w:themeFill="text2" w:themeFillTint="3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类型编码</w:t>
            </w:r>
          </w:p>
        </w:tc>
        <w:tc>
          <w:tcPr>
            <w:tcW w:w="1725" w:type="dxa"/>
            <w:shd w:val="clear" w:color="auto" w:fill="C7DAF1" w:themeFill="text2" w:themeFillTint="3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类型名称</w:t>
            </w:r>
          </w:p>
        </w:tc>
        <w:tc>
          <w:tcPr>
            <w:tcW w:w="1187" w:type="dxa"/>
            <w:shd w:val="clear" w:color="auto" w:fill="C7DAF1" w:themeFill="text2" w:themeFillTint="3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业务类别</w:t>
            </w:r>
          </w:p>
        </w:tc>
        <w:tc>
          <w:tcPr>
            <w:tcW w:w="1175" w:type="dxa"/>
            <w:shd w:val="clear" w:color="auto" w:fill="C7DAF1" w:themeFill="text2" w:themeFillTint="3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关联单据</w:t>
            </w:r>
          </w:p>
        </w:tc>
        <w:tc>
          <w:tcPr>
            <w:tcW w:w="1100" w:type="dxa"/>
            <w:shd w:val="clear" w:color="auto" w:fill="C7DAF1" w:themeFill="text2" w:themeFillTint="3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报销业务</w:t>
            </w:r>
          </w:p>
        </w:tc>
        <w:tc>
          <w:tcPr>
            <w:tcW w:w="1838" w:type="dxa"/>
            <w:shd w:val="clear" w:color="auto" w:fill="C7DAF1" w:themeFill="text2"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借方科目</w:t>
            </w:r>
          </w:p>
        </w:tc>
        <w:tc>
          <w:tcPr>
            <w:tcW w:w="1862" w:type="dxa"/>
            <w:shd w:val="clear" w:color="auto" w:fill="C7DAF1" w:themeFill="text2" w:themeFillTint="32"/>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贷方科目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400"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JTWYRG093</w:t>
            </w:r>
          </w:p>
        </w:tc>
        <w:tc>
          <w:tcPr>
            <w:tcW w:w="1725"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计提</w:t>
            </w:r>
            <w:r>
              <w:rPr>
                <w:rStyle w:val="30"/>
                <w:rFonts w:eastAsia="宋体"/>
                <w:lang w:val="en-US" w:eastAsia="zh-CN" w:bidi="ar"/>
              </w:rPr>
              <w:t>-</w:t>
            </w:r>
            <w:r>
              <w:rPr>
                <w:rFonts w:hint="eastAsia" w:ascii="宋体" w:hAnsi="宋体" w:eastAsia="宋体" w:cs="宋体"/>
                <w:i w:val="0"/>
                <w:iCs w:val="0"/>
                <w:color w:val="000000"/>
                <w:kern w:val="0"/>
                <w:sz w:val="18"/>
                <w:szCs w:val="18"/>
                <w:u w:val="none"/>
                <w:lang w:val="en-US" w:eastAsia="zh-CN" w:bidi="ar"/>
              </w:rPr>
              <w:t>业主委员会经费</w:t>
            </w:r>
          </w:p>
        </w:tc>
        <w:tc>
          <w:tcPr>
            <w:tcW w:w="118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计提</w:t>
            </w:r>
            <w:r>
              <w:rPr>
                <w:rStyle w:val="30"/>
                <w:rFonts w:eastAsia="宋体"/>
                <w:lang w:val="en-US" w:eastAsia="zh-CN" w:bidi="ar"/>
              </w:rPr>
              <w:t>-</w:t>
            </w:r>
            <w:r>
              <w:rPr>
                <w:rFonts w:hint="eastAsia" w:ascii="宋体" w:hAnsi="宋体" w:eastAsia="宋体" w:cs="宋体"/>
                <w:i w:val="0"/>
                <w:iCs w:val="0"/>
                <w:color w:val="000000"/>
                <w:kern w:val="0"/>
                <w:sz w:val="18"/>
                <w:szCs w:val="18"/>
                <w:u w:val="none"/>
                <w:lang w:val="en-US" w:eastAsia="zh-CN" w:bidi="ar"/>
              </w:rPr>
              <w:t>物业运营费用类型</w:t>
            </w:r>
          </w:p>
        </w:tc>
        <w:tc>
          <w:tcPr>
            <w:tcW w:w="1175"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费用报销单</w:t>
            </w:r>
          </w:p>
        </w:tc>
        <w:tc>
          <w:tcPr>
            <w:tcW w:w="1100"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物业运营成本计提</w:t>
            </w:r>
          </w:p>
        </w:tc>
        <w:tc>
          <w:tcPr>
            <w:tcW w:w="1838"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业主委员会经费支出-8401.01.10.01</w:t>
            </w:r>
          </w:p>
        </w:tc>
        <w:tc>
          <w:tcPr>
            <w:tcW w:w="186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业委会/项目委托方-2241.01.15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400"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JTWYRG144</w:t>
            </w:r>
          </w:p>
        </w:tc>
        <w:tc>
          <w:tcPr>
            <w:tcW w:w="1725"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计提</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业主合同专项支出</w:t>
            </w:r>
          </w:p>
        </w:tc>
        <w:tc>
          <w:tcPr>
            <w:tcW w:w="118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计提</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物业运营费用类型</w:t>
            </w:r>
          </w:p>
        </w:tc>
        <w:tc>
          <w:tcPr>
            <w:tcW w:w="1175"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费用报销单</w:t>
            </w:r>
          </w:p>
        </w:tc>
        <w:tc>
          <w:tcPr>
            <w:tcW w:w="1100"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物业运营成本计提</w:t>
            </w:r>
          </w:p>
        </w:tc>
        <w:tc>
          <w:tcPr>
            <w:tcW w:w="1838"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业主合同专项支出-8401.01.10.02</w:t>
            </w:r>
          </w:p>
        </w:tc>
        <w:tc>
          <w:tcPr>
            <w:tcW w:w="186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业委会/项目委托方-2241.01.15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400"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WYYY106</w:t>
            </w:r>
          </w:p>
        </w:tc>
        <w:tc>
          <w:tcPr>
            <w:tcW w:w="1725"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业主委员会经费</w:t>
            </w:r>
          </w:p>
        </w:tc>
        <w:tc>
          <w:tcPr>
            <w:tcW w:w="118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物业运营费用类型</w:t>
            </w:r>
          </w:p>
        </w:tc>
        <w:tc>
          <w:tcPr>
            <w:tcW w:w="1175"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费用报销单</w:t>
            </w:r>
            <w:r>
              <w:rPr>
                <w:rStyle w:val="30"/>
                <w:rFonts w:eastAsia="宋体"/>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借款单</w:t>
            </w:r>
          </w:p>
        </w:tc>
        <w:tc>
          <w:tcPr>
            <w:tcW w:w="1100"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其他</w:t>
            </w:r>
          </w:p>
        </w:tc>
        <w:tc>
          <w:tcPr>
            <w:tcW w:w="1838"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业委会/项目委托方-2241.01.15</w:t>
            </w:r>
          </w:p>
        </w:tc>
        <w:tc>
          <w:tcPr>
            <w:tcW w:w="186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其他零星借款-1221.01.03.09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1400"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WYYY248</w:t>
            </w:r>
          </w:p>
        </w:tc>
        <w:tc>
          <w:tcPr>
            <w:tcW w:w="1725"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业主合同专项支出</w:t>
            </w:r>
          </w:p>
        </w:tc>
        <w:tc>
          <w:tcPr>
            <w:tcW w:w="118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物业运营费用类型</w:t>
            </w:r>
          </w:p>
        </w:tc>
        <w:tc>
          <w:tcPr>
            <w:tcW w:w="1175"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费用报销单</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借款单</w:t>
            </w:r>
          </w:p>
        </w:tc>
        <w:tc>
          <w:tcPr>
            <w:tcW w:w="1100"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其他</w:t>
            </w:r>
          </w:p>
        </w:tc>
        <w:tc>
          <w:tcPr>
            <w:tcW w:w="1838"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业委会/项目委托方-2241.01.15</w:t>
            </w:r>
          </w:p>
        </w:tc>
        <w:tc>
          <w:tcPr>
            <w:tcW w:w="186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其他零星借款-1221.01.03.09</w:t>
            </w:r>
          </w:p>
        </w:tc>
      </w:tr>
    </w:tbl>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核算注意事项：</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1)合同或协议明确约定由管理处承担业委会经费、业主合同专项支出的，根据条款计提，相关条款见下图业主合同专项支出条款（目前暂未收到管理处承担业委会经费的合同案例）</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4"/>
        </w:rPr>
        <w:drawing>
          <wp:inline distT="0" distB="0" distL="114300" distR="114300">
            <wp:extent cx="6117590" cy="1352550"/>
            <wp:effectExtent l="0" t="0" r="1651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6"/>
                    <a:stretch>
                      <a:fillRect/>
                    </a:stretch>
                  </pic:blipFill>
                  <pic:spPr>
                    <a:xfrm>
                      <a:off x="0" y="0"/>
                      <a:ext cx="6117590" cy="1352550"/>
                    </a:xfrm>
                    <a:prstGeom prst="rect">
                      <a:avLst/>
                    </a:prstGeom>
                    <a:noFill/>
                    <a:ln>
                      <a:noFill/>
                    </a:ln>
                  </pic:spPr>
                </pic:pic>
              </a:graphicData>
            </a:graphic>
          </wp:inline>
        </w:drawing>
      </w:r>
      <w:r>
        <w:rPr>
          <w:rFonts w:hint="eastAsia" w:asciiTheme="minorEastAsia" w:hAnsiTheme="minorEastAsia" w:cstheme="minorEastAsia"/>
          <w:sz w:val="21"/>
          <w:szCs w:val="21"/>
          <w:lang w:val="en-US" w:eastAsia="zh-CN"/>
        </w:rPr>
        <w:t>；</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2)支出业委会经费、业主合同专项支出的，须</w:t>
      </w:r>
      <w:r>
        <w:rPr>
          <w:rFonts w:hint="eastAsia" w:asciiTheme="minorEastAsia" w:hAnsiTheme="minorEastAsia" w:cstheme="minorEastAsia"/>
          <w:b/>
          <w:bCs/>
          <w:color w:val="FF0000"/>
          <w:sz w:val="21"/>
          <w:szCs w:val="21"/>
          <w:lang w:val="en-US" w:eastAsia="zh-CN"/>
        </w:rPr>
        <w:t>同时提供</w:t>
      </w:r>
      <w:r>
        <w:rPr>
          <w:rFonts w:hint="eastAsia" w:asciiTheme="minorEastAsia" w:hAnsiTheme="minorEastAsia" w:cstheme="minorEastAsia"/>
          <w:sz w:val="21"/>
          <w:szCs w:val="21"/>
          <w:lang w:val="en-US" w:eastAsia="zh-CN"/>
        </w:rPr>
        <w:t>业委会签字的确认函</w:t>
      </w:r>
      <w:r>
        <w:rPr>
          <w:rFonts w:hint="eastAsia" w:asciiTheme="minorEastAsia" w:hAnsiTheme="minorEastAsia" w:cstheme="minorEastAsia"/>
          <w:b/>
          <w:bCs/>
          <w:color w:val="FF0000"/>
          <w:sz w:val="21"/>
          <w:szCs w:val="21"/>
          <w:lang w:val="en-US" w:eastAsia="zh-CN"/>
        </w:rPr>
        <w:t>以及</w:t>
      </w:r>
      <w:r>
        <w:rPr>
          <w:rFonts w:hint="eastAsia" w:asciiTheme="minorEastAsia" w:hAnsiTheme="minorEastAsia" w:cstheme="minorEastAsia"/>
          <w:sz w:val="21"/>
          <w:szCs w:val="21"/>
          <w:lang w:val="en-US" w:eastAsia="zh-CN"/>
        </w:rPr>
        <w:t>由管理处承担业委会经费、业主合同专项支出的合同或协议条款。</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b/>
          <w:bCs/>
          <w:sz w:val="21"/>
          <w:szCs w:val="21"/>
          <w:lang w:val="en-US" w:eastAsia="zh-CN"/>
        </w:rPr>
        <w:t>相关政策文件：</w:t>
      </w:r>
      <w:r>
        <w:rPr>
          <w:rFonts w:hint="eastAsia" w:asciiTheme="minorEastAsia" w:hAnsiTheme="minorEastAsia" w:eastAsiaTheme="minorEastAsia" w:cstheme="minorEastAsia"/>
          <w:sz w:val="21"/>
          <w:szCs w:val="21"/>
          <w:lang w:val="en-US" w:eastAsia="zh-CN"/>
        </w:rPr>
        <w:t>我国《住房城乡建设部业主大会业主委员会指导规则》第四十二条规定：“业主大会、业主委员会工作经费由全体业主承担。工作经费可以由业主分摊，也可以从物业共有部分经营所得收益中列支。工作经费的收支情况，应当定期在物业管理区域内公告，接受业主监督。工作经费筹集、管理和使用的具体办法由业主大会决定。”</w:t>
      </w:r>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根据国家建设部《业主大会规程》第三十五条业主大会和业主委员会开展工作的经费由全体业主承担;经费的筹集、管理、使用具体由业主大会议事规则规定。</w:t>
      </w:r>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业委会经费的筹集渠道主要有两个：</w:t>
      </w:r>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一是可由全体业主按照房屋建筑面积比例凑集、分担，具体的凑集方法在业主公约或业主大会议事规则中规定</w:t>
      </w:r>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二是可在与物业管理公司签订《物业服务合同》时，约定该工作经费由物业管理公司承担。例如，</w:t>
      </w:r>
      <w:r>
        <w:rPr>
          <w:rFonts w:hint="eastAsia" w:asciiTheme="minorEastAsia" w:hAnsiTheme="minorEastAsia" w:cstheme="minorEastAsia"/>
          <w:sz w:val="21"/>
          <w:szCs w:val="21"/>
          <w:lang w:val="en-US" w:eastAsia="zh-CN"/>
        </w:rPr>
        <w:t>约定公共收益分成用于业委会经费</w:t>
      </w:r>
      <w:r>
        <w:rPr>
          <w:rFonts w:hint="default" w:asciiTheme="minorEastAsia" w:hAnsiTheme="minorEastAsia" w:eastAsiaTheme="minorEastAsia" w:cstheme="minorEastAsia"/>
          <w:sz w:val="21"/>
          <w:szCs w:val="21"/>
          <w:lang w:val="en-US" w:eastAsia="zh-CN"/>
        </w:rPr>
        <w:t>。</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color w:val="auto"/>
          <w:sz w:val="21"/>
          <w:szCs w:val="21"/>
          <w:lang w:val="en-US" w:eastAsia="zh-CN"/>
        </w:rPr>
      </w:pPr>
      <w:bookmarkStart w:id="25" w:name="_Toc26757"/>
      <w:r>
        <w:rPr>
          <w:rFonts w:hint="eastAsia" w:asciiTheme="minorEastAsia" w:hAnsiTheme="minorEastAsia" w:cstheme="minorEastAsia"/>
          <w:b/>
          <w:bCs/>
          <w:color w:val="auto"/>
          <w:sz w:val="21"/>
          <w:szCs w:val="21"/>
          <w:lang w:val="en-US" w:eastAsia="zh-CN"/>
        </w:rPr>
        <w:t>1.15 个税汇算清缴返还到公司账户再支付给员工的账务处理</w:t>
      </w:r>
      <w:bookmarkEnd w:id="25"/>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收到税局返还个税后再退回给员工，属于代收代付性质，考虑到收款账套与退回账套通常不是同一账套，且退回时会把个税并入工资表项目发放，因此收款与退回都用“2221.07应交税费-代交个人所得税”科目核算</w:t>
      </w:r>
    </w:p>
    <w:p>
      <w:pPr>
        <w:pageBreakBefore w:val="0"/>
        <w:widowControl w:val="0"/>
        <w:numPr>
          <w:ilvl w:val="0"/>
          <w:numId w:val="3"/>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收到税局退回个税的分录（通常是机关账套）</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借：银行存款</w:t>
      </w:r>
    </w:p>
    <w:p>
      <w:pPr>
        <w:pageBreakBefore w:val="0"/>
        <w:widowControl w:val="0"/>
        <w:numPr>
          <w:ilvl w:val="0"/>
          <w:numId w:val="0"/>
        </w:numPr>
        <w:kinsoku/>
        <w:wordWrap/>
        <w:overflowPunct/>
        <w:topLinePunct w:val="0"/>
        <w:autoSpaceDE/>
        <w:autoSpaceDN/>
        <w:bidi w:val="0"/>
        <w:spacing w:line="360" w:lineRule="auto"/>
        <w:ind w:firstLine="210" w:firstLineChars="100"/>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贷：2221.07应交税费-代交个人所得税</w:t>
      </w:r>
    </w:p>
    <w:p>
      <w:pPr>
        <w:pageBreakBefore w:val="0"/>
        <w:widowControl w:val="0"/>
        <w:numPr>
          <w:ilvl w:val="0"/>
          <w:numId w:val="3"/>
        </w:numPr>
        <w:kinsoku/>
        <w:wordWrap/>
        <w:overflowPunct/>
        <w:topLinePunct w:val="0"/>
        <w:autoSpaceDE/>
        <w:autoSpaceDN/>
        <w:bidi w:val="0"/>
        <w:spacing w:line="360" w:lineRule="auto"/>
        <w:ind w:left="0" w:leftChars="0" w:firstLine="0" w:firstLineChars="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并入当月工资表发放代收的个税给员工分录</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借：2221.07应交税费-代交个人所得税</w:t>
      </w:r>
    </w:p>
    <w:p>
      <w:pPr>
        <w:pageBreakBefore w:val="0"/>
        <w:widowControl w:val="0"/>
        <w:numPr>
          <w:ilvl w:val="0"/>
          <w:numId w:val="0"/>
        </w:numPr>
        <w:kinsoku/>
        <w:wordWrap/>
        <w:overflowPunct/>
        <w:topLinePunct w:val="0"/>
        <w:autoSpaceDE/>
        <w:autoSpaceDN/>
        <w:bidi w:val="0"/>
        <w:spacing w:line="360" w:lineRule="auto"/>
        <w:ind w:firstLine="210" w:firstLineChars="10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贷：应付内部往来/银行存款</w:t>
      </w:r>
    </w:p>
    <w:p>
      <w:pPr>
        <w:pageBreakBefore w:val="0"/>
        <w:widowControl w:val="0"/>
        <w:numPr>
          <w:ilvl w:val="0"/>
          <w:numId w:val="3"/>
        </w:numPr>
        <w:kinsoku/>
        <w:wordWrap/>
        <w:overflowPunct/>
        <w:topLinePunct w:val="0"/>
        <w:autoSpaceDE/>
        <w:autoSpaceDN/>
        <w:bidi w:val="0"/>
        <w:spacing w:line="360" w:lineRule="auto"/>
        <w:ind w:left="0" w:leftChars="0" w:firstLine="0" w:firstLineChars="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月末将项目账套个税结转至机关账套，项目账套分录</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借：应付内部往来</w:t>
      </w:r>
    </w:p>
    <w:p>
      <w:pPr>
        <w:pageBreakBefore w:val="0"/>
        <w:widowControl w:val="0"/>
        <w:numPr>
          <w:ilvl w:val="0"/>
          <w:numId w:val="0"/>
        </w:numPr>
        <w:kinsoku/>
        <w:wordWrap/>
        <w:overflowPunct/>
        <w:topLinePunct w:val="0"/>
        <w:autoSpaceDE/>
        <w:autoSpaceDN/>
        <w:bidi w:val="0"/>
        <w:spacing w:line="360" w:lineRule="auto"/>
        <w:ind w:firstLine="210" w:firstLineChars="10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贷：2221.07应交税费-代交个人所得税</w:t>
      </w:r>
    </w:p>
    <w:p>
      <w:pPr>
        <w:pageBreakBefore w:val="0"/>
        <w:widowControl w:val="0"/>
        <w:numPr>
          <w:ilvl w:val="0"/>
          <w:numId w:val="0"/>
        </w:numPr>
        <w:kinsoku/>
        <w:wordWrap/>
        <w:overflowPunct/>
        <w:topLinePunct w:val="0"/>
        <w:autoSpaceDE/>
        <w:autoSpaceDN/>
        <w:bidi w:val="0"/>
        <w:spacing w:line="360" w:lineRule="auto"/>
        <w:ind w:leftChars="0" w:firstLine="210" w:firstLineChars="10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月末将项目账套个税结转至机关账套，机关账套分录</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借：应付内部往来</w:t>
      </w:r>
    </w:p>
    <w:p>
      <w:pPr>
        <w:pageBreakBefore w:val="0"/>
        <w:widowControl w:val="0"/>
        <w:numPr>
          <w:ilvl w:val="0"/>
          <w:numId w:val="0"/>
        </w:numPr>
        <w:kinsoku/>
        <w:wordWrap/>
        <w:overflowPunct/>
        <w:topLinePunct w:val="0"/>
        <w:autoSpaceDE/>
        <w:autoSpaceDN/>
        <w:bidi w:val="0"/>
        <w:spacing w:line="360" w:lineRule="auto"/>
        <w:ind w:firstLine="210" w:firstLineChars="10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贷：2221.07应交税费-代交个人所得税</w:t>
      </w:r>
    </w:p>
    <w:p>
      <w:pPr>
        <w:pageBreakBefore w:val="0"/>
        <w:widowControl w:val="0"/>
        <w:numPr>
          <w:ilvl w:val="0"/>
          <w:numId w:val="0"/>
        </w:numPr>
        <w:kinsoku/>
        <w:wordWrap/>
        <w:overflowPunct/>
        <w:topLinePunct w:val="0"/>
        <w:autoSpaceDE/>
        <w:autoSpaceDN/>
        <w:bidi w:val="0"/>
        <w:spacing w:line="360" w:lineRule="auto"/>
        <w:textAlignment w:val="auto"/>
        <w:rPr>
          <w:rFonts w:hint="default" w:asciiTheme="minorEastAsia" w:hAnsiTheme="minorEastAsia" w:cstheme="minorEastAsia"/>
          <w:sz w:val="21"/>
          <w:szCs w:val="21"/>
          <w:lang w:val="en-US" w:eastAsia="zh-CN"/>
        </w:rPr>
      </w:pP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eastAsiaTheme="minorEastAsia" w:cstheme="minorEastAsia"/>
          <w:b/>
          <w:bCs/>
          <w:sz w:val="28"/>
          <w:szCs w:val="28"/>
          <w:lang w:val="en-US" w:eastAsia="zh-CN"/>
        </w:rPr>
      </w:pPr>
      <w:bookmarkStart w:id="26" w:name="_Toc8430"/>
      <w:r>
        <w:rPr>
          <w:rFonts w:hint="eastAsia" w:asciiTheme="minorEastAsia" w:hAnsiTheme="minorEastAsia" w:eastAsiaTheme="minorEastAsia" w:cstheme="minorEastAsia"/>
          <w:b/>
          <w:bCs/>
          <w:sz w:val="28"/>
          <w:szCs w:val="28"/>
          <w:lang w:val="en-US" w:eastAsia="zh-CN"/>
        </w:rPr>
        <w:t>2 损益类问题</w:t>
      </w:r>
      <w:bookmarkEnd w:id="26"/>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27" w:name="_Toc5301"/>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sz w:val="21"/>
          <w:szCs w:val="21"/>
        </w:rPr>
        <w:t>撤场项目，法律诉讼收费，调减了86万呢，直接冲了今年损益？</w:t>
      </w:r>
      <w:bookmarkEnd w:id="27"/>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冲今年损益就对了。</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按照标准搞法，这种差额应该作为债务重组损失的，但是这个明细科目有点敏感，放在这里不好，直接冲减收入拉倒。</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28" w:name="_Toc21493"/>
      <w:bookmarkStart w:id="29" w:name="_Toc27855"/>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sz w:val="21"/>
          <w:szCs w:val="21"/>
        </w:rPr>
        <w:t>因为延迟缴纳社保，被社保局加扣了社保利息，这个利息应如何做账？</w:t>
      </w:r>
      <w:bookmarkEnd w:id="28"/>
      <w:bookmarkEnd w:id="29"/>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社保局加扣社保利息，实质是我们缴纳的社保局垫付产生的资金成本（至于社保局垫付的是什么鬼，我也不知道），这一块应计入成本。</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前网上对这一块社保利息有两种处理方式，一种是将这部分作为财务费用-利息支出，第二种将这部分作为社保成本。考虑到利息支出反算利息率比较高的情况，我们在实务中将这部分社保利息作为社保成本的一部分，记在成本-社保费用-养老保险中。</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如果是机关账套的，利息支出不应分配给管理处。</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值得注意的是，如果被扣了社保滞纳金，滞纳金应计入营业外支出。</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30" w:name="_Toc14842"/>
      <w:bookmarkStart w:id="31" w:name="_Toc27359"/>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sz w:val="21"/>
          <w:szCs w:val="21"/>
        </w:rPr>
        <w:t>政府拨款的稳岗补贴应该计入哪个科目？</w:t>
      </w:r>
      <w:bookmarkEnd w:id="30"/>
      <w:bookmarkEnd w:id="31"/>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rPr>
        <w:t>稳岗补贴</w:t>
      </w:r>
      <w:r>
        <w:rPr>
          <w:rFonts w:hint="eastAsia" w:asciiTheme="minorEastAsia" w:hAnsiTheme="minorEastAsia" w:eastAsiaTheme="minorEastAsia" w:cstheme="minorEastAsia"/>
          <w:sz w:val="21"/>
          <w:szCs w:val="21"/>
          <w:shd w:val="clear" w:color="auto" w:fill="FFFFFF"/>
        </w:rPr>
        <w:t>是政府为了稳定就业岗位,鼓励企业少裁员或不裁员而对企业发放的补助（查度娘）。据说补贴的资金来源为企业缴纳的失业保险。根据各地政府的政策不同，比率也有不同。</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无论其金额来源，实质也是政府补贴企业经营的一种方式，应计入其他收益中。</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本集团计入的科目为“其他收益-与企业日常活动相关的政府补助”。</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该笔账务通过收款单生成凭证。</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32" w:name="_Toc5883"/>
      <w:bookmarkStart w:id="33" w:name="_Toc15235"/>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4 </w:t>
      </w:r>
      <w:r>
        <w:rPr>
          <w:rFonts w:hint="eastAsia" w:asciiTheme="minorEastAsia" w:hAnsiTheme="minorEastAsia" w:eastAsiaTheme="minorEastAsia" w:cstheme="minorEastAsia"/>
          <w:sz w:val="21"/>
          <w:szCs w:val="21"/>
        </w:rPr>
        <w:t>节能服务成本，这一块成本应计入哪个科目？</w:t>
      </w:r>
      <w:bookmarkEnd w:id="32"/>
      <w:bookmarkEnd w:id="33"/>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sz w:val="21"/>
          <w:szCs w:val="21"/>
          <w:lang w:val="en-US" w:eastAsia="zh-CN"/>
        </w:rPr>
        <w:t xml:space="preserve">2.4.1 </w:t>
      </w:r>
      <w:r>
        <w:rPr>
          <w:rFonts w:hint="eastAsia" w:asciiTheme="minorEastAsia" w:hAnsiTheme="minorEastAsia" w:eastAsiaTheme="minorEastAsia" w:cstheme="minorEastAsia"/>
          <w:sz w:val="21"/>
          <w:szCs w:val="21"/>
        </w:rPr>
        <w:t>节能服务成本为供应商提供的节能减排服务，依据合同，本公司根据后续经营中节约的能耗一定比例需支付的成本。</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该类成本实质是供应商实施节能减排工程中（譬如：供暖节能改造工程、二次供水设备）的后续成本支出，该类成本的归类，归于前期工程成本。</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根据这个原则：</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a、二次供水设备改造工程，后续产生的节能减排支出应选择“8401.01.06.01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二次供水设备”</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b、供暖节能改造工程，后续产生的节能减排支出应选择“8401.01.06.02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供暖设备”</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c、中央空调，后续产生的节能减排支出应选择“8401.01.06.03</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中央空调”。</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因此，这个节能成本不能选电费、水费、暖气费，这些只是双方定的结算标准的数据来源。</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 xml:space="preserve">2.4.2 </w:t>
      </w:r>
      <w:r>
        <w:rPr>
          <w:rFonts w:hint="eastAsia" w:asciiTheme="minorEastAsia" w:hAnsiTheme="minorEastAsia" w:eastAsiaTheme="minorEastAsia" w:cstheme="minorEastAsia"/>
          <w:b w:val="0"/>
          <w:bCs w:val="0"/>
          <w:sz w:val="21"/>
          <w:szCs w:val="21"/>
          <w:lang w:eastAsia="zh-CN"/>
        </w:rPr>
        <w:t>关于计入设备维护成本的进一步说明</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关于二次节能排水的与对方结算的成本，是计入水费还是计入二次供水设备维保成本的事项。</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根据我之前收集的管理处与对方签订的合同，条款大部分是这样约定：</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rPr>
        <w:t>、在实施工程时对方收取少量甚至不收维修改造费用。</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、以之后节省的水费、电费作为基数，按一定的百分比为支付工程的金额。</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可以这样想：对方做的这个工程，我们是需要花钱的，这个工程的金额应等于后续支付的总额。</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从负债的定义来看，对方给我们做完这个工程，我们对这个工程费用的支出就有了现时义务。只是这个或有事项的金额不确定太大，难以估计，因此我们不计提这个负债。</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至于是作为水费成本还是作为设备维保改造成本，看这项成本是否为水的实际应用支出还是设备改造。</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举个</w:t>
      </w:r>
      <w:r>
        <w:rPr>
          <w:rFonts w:hint="eastAsia" w:asciiTheme="minorEastAsia" w:hAnsiTheme="minorEastAsia" w:eastAsiaTheme="minorEastAsia" w:cstheme="minorEastAsia"/>
          <w:sz w:val="21"/>
          <w:szCs w:val="21"/>
          <w:lang w:eastAsia="zh-CN"/>
        </w:rPr>
        <w:t>例</w:t>
      </w:r>
      <w:r>
        <w:rPr>
          <w:rFonts w:hint="eastAsia" w:asciiTheme="minorEastAsia" w:hAnsiTheme="minorEastAsia" w:eastAsiaTheme="minorEastAsia" w:cstheme="minorEastAsia"/>
          <w:sz w:val="21"/>
          <w:szCs w:val="21"/>
        </w:rPr>
        <w:t>子：一个房间用一个40W的白炽灯，后来为了节能，使用了7W的节能灯，两者亮度基本一致，但不能将采购的7W节能灯的费用作为电费成本支出，而应单独作为节能灯的设备采购成本。</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因此，我们将这类节省能耗的设备改造归于相应的改造成本，没作为能耗的成本。</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34" w:name="_Toc24404"/>
      <w:bookmarkStart w:id="35" w:name="_Toc3917"/>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5 </w:t>
      </w:r>
      <w:r>
        <w:rPr>
          <w:rFonts w:hint="eastAsia" w:asciiTheme="minorEastAsia" w:hAnsiTheme="minorEastAsia" w:eastAsiaTheme="minorEastAsia" w:cstheme="minorEastAsia"/>
          <w:sz w:val="21"/>
          <w:szCs w:val="21"/>
        </w:rPr>
        <w:t>关于收到政府税收返还或税收补助该入什么科目</w:t>
      </w:r>
      <w:bookmarkEnd w:id="34"/>
      <w:bookmarkEnd w:id="35"/>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color w:val="000000"/>
          <w:sz w:val="21"/>
          <w:szCs w:val="21"/>
          <w:shd w:val="clear" w:color="auto" w:fill="FFFFFF"/>
        </w:rPr>
      </w:pPr>
      <w:r>
        <w:rPr>
          <w:rFonts w:hint="eastAsia" w:asciiTheme="minorEastAsia" w:hAnsiTheme="minorEastAsia" w:eastAsiaTheme="minorEastAsia" w:cstheme="minorEastAsia"/>
          <w:kern w:val="0"/>
          <w:sz w:val="21"/>
          <w:szCs w:val="21"/>
        </w:rPr>
        <w:t>财政部关于</w:t>
      </w:r>
      <w:r>
        <w:rPr>
          <w:rFonts w:hint="eastAsia" w:asciiTheme="minorEastAsia" w:hAnsiTheme="minorEastAsia" w:eastAsiaTheme="minorEastAsia" w:cstheme="minorEastAsia"/>
          <w:color w:val="000000"/>
          <w:sz w:val="21"/>
          <w:szCs w:val="21"/>
          <w:shd w:val="clear" w:color="auto" w:fill="FFFFFF"/>
        </w:rPr>
        <w:t>《企业会计准则第16号——政府补助》有关问题解读如下：</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r>
        <w:rPr>
          <w:rFonts w:hint="eastAsia" w:asciiTheme="minorEastAsia" w:hAnsiTheme="minorEastAsia" w:cstheme="minorEastAsia"/>
          <w:kern w:val="0"/>
          <w:sz w:val="21"/>
          <w:szCs w:val="21"/>
          <w:lang w:val="en-US" w:eastAsia="zh-CN"/>
        </w:rPr>
        <w:t>0</w:t>
      </w:r>
      <w:r>
        <w:rPr>
          <w:rFonts w:hint="eastAsia" w:asciiTheme="minorEastAsia" w:hAnsiTheme="minorEastAsia" w:eastAsiaTheme="minorEastAsia" w:cstheme="minorEastAsia"/>
          <w:kern w:val="0"/>
          <w:sz w:val="21"/>
          <w:szCs w:val="21"/>
          <w:lang w:val="en-US" w:eastAsia="zh-CN"/>
        </w:rPr>
        <w:t>5.1 账务处理</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政府补助准则规定，与企业日常活动相关的政府补助，应当按照经济业务实质，计入其他收益或冲减相关成本费用。与企业日常活动无关的政府补助，应当计入营业外收支。</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政府补助准则不对“日常活动”进行界定。通常情况下，若政府补助补偿的成本费用是营业利润之中的项目，或该补助与日常销售等经营行为密切相关（如增值税即征即退等），则认为该政府补助与日常活动相关。</w:t>
      </w:r>
    </w:p>
    <w:p>
      <w:pPr>
        <w:pageBreakBefore w:val="0"/>
        <w:widowControl/>
        <w:kinsoku/>
        <w:wordWrap/>
        <w:overflowPunct/>
        <w:topLinePunct w:val="0"/>
        <w:autoSpaceDE/>
        <w:autoSpaceDN/>
        <w:bidi w:val="0"/>
        <w:spacing w:line="360" w:lineRule="auto"/>
        <w:ind w:firstLine="315" w:firstLineChars="150"/>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因此，通常企业取得的税项返还等款项,一般与日常经营活动相关，计入</w:t>
      </w:r>
      <w:r>
        <w:rPr>
          <w:rFonts w:hint="eastAsia" w:asciiTheme="minorEastAsia" w:hAnsiTheme="minorEastAsia" w:eastAsiaTheme="minorEastAsia" w:cstheme="minorEastAsia"/>
          <w:b/>
          <w:color w:val="FF0000"/>
          <w:kern w:val="0"/>
          <w:sz w:val="21"/>
          <w:szCs w:val="21"/>
          <w:u w:val="single"/>
        </w:rPr>
        <w:t>”其他收益-与企业日常活动相关的政府补助”</w:t>
      </w:r>
      <w:r>
        <w:rPr>
          <w:rFonts w:hint="eastAsia" w:asciiTheme="minorEastAsia" w:hAnsiTheme="minorEastAsia" w:eastAsiaTheme="minorEastAsia" w:cstheme="minorEastAsia"/>
          <w:kern w:val="0"/>
          <w:sz w:val="21"/>
          <w:szCs w:val="21"/>
        </w:rPr>
        <w:t>科目。</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 xml:space="preserve">   税局支付给企业的代扣个税手续费返还，收到手续费返还后，计入</w:t>
      </w:r>
      <w:r>
        <w:rPr>
          <w:rFonts w:hint="eastAsia" w:asciiTheme="minorEastAsia" w:hAnsiTheme="minorEastAsia" w:eastAsiaTheme="minorEastAsia" w:cstheme="minorEastAsia"/>
          <w:b/>
          <w:color w:val="FF0000"/>
          <w:kern w:val="0"/>
          <w:sz w:val="21"/>
          <w:szCs w:val="21"/>
          <w:u w:val="single"/>
        </w:rPr>
        <w:t>”其他收益-代扣个税手续费收入”</w:t>
      </w:r>
      <w:r>
        <w:rPr>
          <w:rFonts w:hint="eastAsia" w:asciiTheme="minorEastAsia" w:hAnsiTheme="minorEastAsia" w:eastAsiaTheme="minorEastAsia" w:cstheme="minorEastAsia"/>
          <w:kern w:val="0"/>
          <w:sz w:val="21"/>
          <w:szCs w:val="21"/>
        </w:rPr>
        <w:t>科目。</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r>
        <w:rPr>
          <w:rFonts w:hint="eastAsia" w:asciiTheme="minorEastAsia" w:hAnsiTheme="minorEastAsia" w:cstheme="minorEastAsia"/>
          <w:kern w:val="0"/>
          <w:sz w:val="21"/>
          <w:szCs w:val="21"/>
          <w:lang w:val="en-US" w:eastAsia="zh-CN"/>
        </w:rPr>
        <w:t>0</w:t>
      </w:r>
      <w:r>
        <w:rPr>
          <w:rFonts w:hint="eastAsia" w:asciiTheme="minorEastAsia" w:hAnsiTheme="minorEastAsia" w:eastAsiaTheme="minorEastAsia" w:cstheme="minorEastAsia"/>
          <w:kern w:val="0"/>
          <w:sz w:val="21"/>
          <w:szCs w:val="21"/>
          <w:lang w:val="en-US" w:eastAsia="zh-CN"/>
        </w:rPr>
        <w:t>5.2 依据</w:t>
      </w:r>
    </w:p>
    <w:p>
      <w:pPr>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根据现行税收法规，代扣代缴个人所得税的手续费返还应按照“商务辅助服务——经纪代理服务”缴纳增值税；根据财政部官网给出的《关于2018年度一般企业财务报表格式有关问题的解读》第三大条第（二）条，代扣个人所得税手续费返还计入“其他收益”。</w:t>
      </w:r>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36" w:name="_Toc4075"/>
      <w:bookmarkStart w:id="37" w:name="_Toc4159"/>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6 </w:t>
      </w:r>
      <w:r>
        <w:rPr>
          <w:rFonts w:hint="eastAsia" w:asciiTheme="minorEastAsia" w:hAnsiTheme="minorEastAsia" w:eastAsiaTheme="minorEastAsia" w:cstheme="minorEastAsia"/>
          <w:sz w:val="21"/>
          <w:szCs w:val="21"/>
        </w:rPr>
        <w:t>取得政府补助应在哪个科目核算</w:t>
      </w:r>
      <w:bookmarkEnd w:id="36"/>
      <w:bookmarkEnd w:id="37"/>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根据公司核算规则，对政府补助采用总额法核算，因此取得政府补助，统一记入“其他收益-与企业日常活动相关的政府补助”，对集团可能涉及的政府补助具体类型将另作专门统计与说明</w:t>
      </w:r>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38" w:name="_Toc11032"/>
      <w:bookmarkStart w:id="39" w:name="_Toc28707"/>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7 </w:t>
      </w:r>
      <w:r>
        <w:rPr>
          <w:rFonts w:hint="eastAsia" w:asciiTheme="minorEastAsia" w:hAnsiTheme="minorEastAsia" w:eastAsiaTheme="minorEastAsia" w:cstheme="minorEastAsia"/>
          <w:sz w:val="21"/>
          <w:szCs w:val="21"/>
        </w:rPr>
        <w:t>项目已经撤场了之前归还借款多还了,导致个人借款科目负数，如何处理</w:t>
      </w:r>
      <w:bookmarkEnd w:id="38"/>
      <w:bookmarkEnd w:id="39"/>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答：冲成本</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40" w:name="_Toc28124"/>
      <w:bookmarkStart w:id="41" w:name="_Toc24892"/>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8 </w:t>
      </w:r>
      <w:r>
        <w:rPr>
          <w:rFonts w:hint="eastAsia" w:asciiTheme="minorEastAsia" w:hAnsiTheme="minorEastAsia" w:eastAsiaTheme="minorEastAsia" w:cstheme="minorEastAsia"/>
          <w:sz w:val="21"/>
          <w:szCs w:val="21"/>
        </w:rPr>
        <w:t>其他收益与返还冲减成本的界限</w:t>
      </w:r>
      <w:bookmarkEnd w:id="40"/>
      <w:bookmarkEnd w:id="41"/>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其他收益是政府补助，补助的对象可以是一个、可以是多个，但与企业之前的支出无直接必然联系，用途宽泛。</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返还冲减成本这一个用途非常狭窄。仅针对事前企业缴纳，政府退还的部分，且是企业根据政策文件不应该缴纳但多缴的部分。</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举例一：如果根据政策文件，2020年1月份养老缴纳比例下降至2%，但因为不知名原因（可能政府系统未及时修改），1月份还是按5%扣了。2020年3月将多扣的部分返回了，那么这个3%就应该冲成本。</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举例二：根据税收优惠文件，软件企业实际税负大于3%的部分执行即征即退。退的这一部分税，以前没有“其他收益”科目时，是计入“其他业务收入”，现在是计入“其他收益”里。</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8.3 社保返还的账务处理是冲成本和还是做其他收益的判断依据是：是否事前有知道的可能。</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举例：</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场景一：2020年1月份，当地政策已经发文，免除1月份的社保，结果公司还呼呼的把1月的社保给交了。3月份收到1月份退回的款项。这种的就应该冲减成本。</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场景二：交完社保事后再说返还的，譬如2020年1月我们缴纳了，政府4月份的时候说，把之前1-3收的要返回去，这种就应该做补助。</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原理：会计的基础假设之一：会计分期。以每月作为单独期限，场景一中，将社保做成本与实际业务是不符的，当时就不应该去缴。场景二中，当期无政策，进成本就没问题。等到过了几个月说要免以前，再怎么返回，对以前月份的账务已经无影响了，因此，只能作为当期的补助。</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42" w:name="_Toc12854"/>
      <w:bookmarkStart w:id="43" w:name="_Toc28885"/>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9 </w:t>
      </w:r>
      <w:r>
        <w:rPr>
          <w:rFonts w:hint="eastAsia" w:asciiTheme="minorEastAsia" w:hAnsiTheme="minorEastAsia" w:eastAsiaTheme="minorEastAsia" w:cstheme="minorEastAsia"/>
          <w:sz w:val="21"/>
          <w:szCs w:val="21"/>
        </w:rPr>
        <w:t>政府部门（如街道办）支付的专项补贴（如防疫工作专项补贴），但由我公司向打款部门开票发票（见下图），该入什么科目？</w:t>
      </w:r>
      <w:bookmarkEnd w:id="42"/>
      <w:bookmarkEnd w:id="43"/>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常情况收政府部门补贴记入“其他收益-与企业日常活动相关的政府补助”，但此处因支付部门要求我公司开发票，此行为即是政府部门向公司购买服务，记入“主营业务收入-增值服务收入-其他”或其他收入类科目。</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特别说明，政府补助跟收入的主要区别在于，政府补助是单向支付，不属于交易事项，不需要交税增值税。</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6300470" cy="3237865"/>
            <wp:effectExtent l="0" t="0" r="508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7"/>
                    <a:srcRect/>
                    <a:stretch>
                      <a:fillRect/>
                    </a:stretch>
                  </pic:blipFill>
                  <pic:spPr>
                    <a:xfrm>
                      <a:off x="0" y="0"/>
                      <a:ext cx="6300470" cy="3237935"/>
                    </a:xfrm>
                    <a:prstGeom prst="rect">
                      <a:avLst/>
                    </a:prstGeom>
                    <a:noFill/>
                    <a:ln w="9525">
                      <a:noFill/>
                      <a:miter lim="800000"/>
                      <a:headEnd/>
                      <a:tailEnd/>
                    </a:ln>
                  </pic:spPr>
                </pic:pic>
              </a:graphicData>
            </a:graphic>
          </wp:inline>
        </w:drawing>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44" w:name="_Toc5617"/>
      <w:bookmarkStart w:id="45" w:name="_Toc6602"/>
      <w:r>
        <w:rPr>
          <w:rFonts w:hint="eastAsia" w:asciiTheme="minorEastAsia" w:hAnsiTheme="minorEastAsia" w:eastAsiaTheme="minorEastAsia" w:cstheme="minorEastAsia"/>
          <w:sz w:val="21"/>
          <w:szCs w:val="21"/>
          <w:lang w:val="en-US" w:eastAsia="zh-CN"/>
        </w:rPr>
        <w:t xml:space="preserve">2.10 </w:t>
      </w:r>
      <w:r>
        <w:rPr>
          <w:rFonts w:hint="eastAsia" w:asciiTheme="minorEastAsia" w:hAnsiTheme="minorEastAsia" w:eastAsiaTheme="minorEastAsia" w:cstheme="minorEastAsia"/>
          <w:sz w:val="21"/>
          <w:szCs w:val="21"/>
        </w:rPr>
        <w:t>支付给员工的工伤赔偿应该入哪个科目？</w:t>
      </w:r>
      <w:bookmarkEnd w:id="44"/>
      <w:bookmarkEnd w:id="45"/>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2.10.1 </w:t>
      </w:r>
      <w:r>
        <w:rPr>
          <w:rFonts w:hint="eastAsia" w:asciiTheme="minorEastAsia" w:hAnsiTheme="minorEastAsia" w:eastAsiaTheme="minorEastAsia" w:cstheme="minorEastAsia"/>
          <w:sz w:val="21"/>
          <w:szCs w:val="21"/>
          <w:lang w:eastAsia="zh-CN"/>
        </w:rPr>
        <w:t>工伤赔偿（须经工伤认定、劳动能力鉴定、劳动仲裁三个必经阶段，通常包括伤残就业补助金、</w:t>
      </w:r>
      <w:r>
        <w:rPr>
          <w:rFonts w:hint="eastAsia" w:asciiTheme="minorEastAsia" w:hAnsiTheme="minorEastAsia" w:eastAsiaTheme="minorEastAsia" w:cstheme="minorEastAsia"/>
          <w:sz w:val="21"/>
          <w:szCs w:val="21"/>
          <w:lang w:val="en-US" w:eastAsia="zh-CN"/>
        </w:rPr>
        <w:t>伤残补助、医疗补助及其他与工伤医疗相关等补助</w:t>
      </w:r>
      <w:r>
        <w:rPr>
          <w:rFonts w:hint="eastAsia" w:asciiTheme="minorEastAsia" w:hAnsiTheme="minorEastAsia" w:eastAsiaTheme="minorEastAsia" w:cstheme="minorEastAsia"/>
          <w:sz w:val="21"/>
          <w:szCs w:val="21"/>
          <w:lang w:eastAsia="zh-CN"/>
        </w:rPr>
        <w:t>）属于非日常经营活动支出，使用“营业外支出”科目核算。</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2.10.2 停工留薪及其他类似工资性质支出：因停工期间员工未提供劳务服务，属于福利性质支出，使用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福利费-其他福利”损益科目”。</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2.10.3 </w:t>
      </w:r>
      <w:r>
        <w:rPr>
          <w:rFonts w:hint="eastAsia" w:asciiTheme="minorEastAsia" w:hAnsiTheme="minorEastAsia" w:eastAsiaTheme="minorEastAsia" w:cstheme="minorEastAsia"/>
          <w:sz w:val="21"/>
          <w:szCs w:val="21"/>
          <w:lang w:eastAsia="zh-CN"/>
        </w:rPr>
        <w:t>员工日常因工负伤的问诊费、药费等属于员工福利支出，计入成本费用。</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负债类科目：2.10.1计提后未支付前计入其他应付款-其他科目核算，2.10.2、2.10.3</w:t>
      </w:r>
      <w:r>
        <w:rPr>
          <w:rFonts w:hint="eastAsia" w:asciiTheme="minorEastAsia" w:hAnsiTheme="minorEastAsia" w:eastAsiaTheme="minorEastAsia" w:cstheme="minorEastAsia"/>
          <w:sz w:val="21"/>
          <w:szCs w:val="21"/>
          <w:lang w:eastAsia="zh-CN"/>
        </w:rPr>
        <w:t>属于应付职工薪酬范围，</w:t>
      </w:r>
      <w:r>
        <w:rPr>
          <w:rFonts w:hint="eastAsia" w:asciiTheme="minorEastAsia" w:hAnsiTheme="minorEastAsia" w:cstheme="minorEastAsia"/>
          <w:sz w:val="21"/>
          <w:szCs w:val="21"/>
          <w:lang w:eastAsia="zh-CN"/>
        </w:rPr>
        <w:t>负债类</w:t>
      </w:r>
      <w:r>
        <w:rPr>
          <w:rFonts w:hint="eastAsia" w:asciiTheme="minorEastAsia" w:hAnsiTheme="minorEastAsia" w:eastAsiaTheme="minorEastAsia" w:cstheme="minorEastAsia"/>
          <w:sz w:val="21"/>
          <w:szCs w:val="21"/>
          <w:lang w:eastAsia="zh-CN"/>
        </w:rPr>
        <w:t>科目使用“应付职工薪酬”核算。</w:t>
      </w:r>
    </w:p>
    <w:p>
      <w:pPr>
        <w:pageBreakBefore w:val="0"/>
        <w:kinsoku/>
        <w:wordWrap/>
        <w:overflowPunct/>
        <w:topLinePunct w:val="0"/>
        <w:autoSpaceDE/>
        <w:autoSpaceDN/>
        <w:bidi w:val="0"/>
        <w:spacing w:line="360" w:lineRule="auto"/>
        <w:outlineLvl w:val="0"/>
        <w:rPr>
          <w:rFonts w:hint="default" w:asciiTheme="minorEastAsia" w:hAnsiTheme="minorEastAsia" w:eastAsiaTheme="minorEastAsia" w:cstheme="minorEastAsia"/>
          <w:b/>
          <w:bCs/>
          <w:sz w:val="21"/>
          <w:szCs w:val="21"/>
          <w:lang w:val="en-US" w:eastAsia="zh-CN"/>
        </w:rPr>
      </w:pPr>
      <w:bookmarkStart w:id="46" w:name="_Toc22109"/>
      <w:r>
        <w:rPr>
          <w:rFonts w:hint="eastAsia" w:asciiTheme="minorEastAsia" w:hAnsiTheme="minorEastAsia" w:cstheme="minorEastAsia"/>
          <w:b/>
          <w:bCs/>
          <w:sz w:val="21"/>
          <w:szCs w:val="21"/>
          <w:lang w:val="en-US" w:eastAsia="zh-CN"/>
        </w:rPr>
        <w:t>2.11 POS机的年费支出应该入哪个科目？</w:t>
      </w:r>
      <w:bookmarkEnd w:id="46"/>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通常情况下POS机服务方不另外收取年费，如果服务合同约定需支付年费的，该年费一般是交易手续费的补充条件条款，统一记入财务费用-POS机手续费科目。</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cstheme="minorEastAsia"/>
          <w:b/>
          <w:bCs/>
          <w:sz w:val="21"/>
          <w:szCs w:val="21"/>
          <w:lang w:val="en-US" w:eastAsia="zh-CN"/>
        </w:rPr>
      </w:pPr>
      <w:bookmarkStart w:id="47" w:name="_Toc32322"/>
      <w:r>
        <w:rPr>
          <w:rFonts w:hint="eastAsia" w:asciiTheme="minorEastAsia" w:hAnsiTheme="minorEastAsia" w:cstheme="minorEastAsia"/>
          <w:b/>
          <w:bCs/>
          <w:sz w:val="21"/>
          <w:szCs w:val="21"/>
          <w:lang w:val="en-US" w:eastAsia="zh-CN"/>
        </w:rPr>
        <w:t>2.12 招待费中包括客户等非本公司员工的交通、住宿等费用，入哪个科目，交通费部分需要价税分离吗？</w:t>
      </w:r>
      <w:bookmarkEnd w:id="47"/>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如果招待费中包含交通、住宿等，报销前需对本次事项的招待费包含的内容事先做OA报备</w:t>
      </w:r>
      <w:r>
        <w:rPr>
          <w:rFonts w:hint="eastAsia" w:asciiTheme="minorEastAsia" w:hAnsiTheme="minorEastAsia" w:cstheme="minorEastAsia"/>
          <w:sz w:val="21"/>
          <w:szCs w:val="21"/>
          <w:lang w:val="en-US" w:eastAsia="zh-CN"/>
        </w:rPr>
        <w:t>，</w:t>
      </w:r>
      <w:r>
        <w:rPr>
          <w:rFonts w:hint="default" w:asciiTheme="minorEastAsia" w:hAnsiTheme="minorEastAsia" w:cstheme="minorEastAsia"/>
          <w:sz w:val="21"/>
          <w:szCs w:val="21"/>
          <w:lang w:val="en-US" w:eastAsia="zh-CN"/>
        </w:rPr>
        <w:t>报备后</w:t>
      </w:r>
      <w:r>
        <w:rPr>
          <w:rFonts w:hint="eastAsia" w:asciiTheme="minorEastAsia" w:hAnsiTheme="minorEastAsia" w:cstheme="minorEastAsia"/>
          <w:sz w:val="21"/>
          <w:szCs w:val="21"/>
          <w:lang w:val="en-US" w:eastAsia="zh-CN"/>
        </w:rPr>
        <w:t>统一</w:t>
      </w:r>
      <w:r>
        <w:rPr>
          <w:rFonts w:hint="default" w:asciiTheme="minorEastAsia" w:hAnsiTheme="minorEastAsia" w:cstheme="minorEastAsia"/>
          <w:sz w:val="21"/>
          <w:szCs w:val="21"/>
          <w:lang w:val="en-US" w:eastAsia="zh-CN"/>
        </w:rPr>
        <w:t>走招待费。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另外，无论是不是本司员工，</w:t>
      </w:r>
      <w:r>
        <w:rPr>
          <w:rFonts w:hint="eastAsia" w:asciiTheme="minorEastAsia" w:hAnsiTheme="minorEastAsia" w:cstheme="minorEastAsia"/>
          <w:sz w:val="21"/>
          <w:szCs w:val="21"/>
          <w:lang w:val="en-US" w:eastAsia="zh-CN"/>
        </w:rPr>
        <w:t>交通费</w:t>
      </w:r>
      <w:r>
        <w:rPr>
          <w:rFonts w:hint="default" w:asciiTheme="minorEastAsia" w:hAnsiTheme="minorEastAsia" w:cstheme="minorEastAsia"/>
          <w:sz w:val="21"/>
          <w:szCs w:val="21"/>
          <w:lang w:val="en-US" w:eastAsia="zh-CN"/>
        </w:rPr>
        <w:t>价税分离是需要的，之后业务财务报本期进项税转出的时候需要把这</w:t>
      </w:r>
      <w:r>
        <w:rPr>
          <w:rFonts w:hint="eastAsia" w:asciiTheme="minorEastAsia" w:hAnsiTheme="minorEastAsia" w:cstheme="minorEastAsia"/>
          <w:sz w:val="21"/>
          <w:szCs w:val="21"/>
          <w:lang w:val="en-US" w:eastAsia="zh-CN"/>
        </w:rPr>
        <w:t>部分转出</w:t>
      </w:r>
      <w:r>
        <w:rPr>
          <w:rFonts w:hint="default" w:asciiTheme="minorEastAsia" w:hAnsiTheme="minorEastAsia" w:cstheme="minorEastAsia"/>
          <w:sz w:val="21"/>
          <w:szCs w:val="21"/>
          <w:lang w:val="en-US" w:eastAsia="zh-CN"/>
        </w:rPr>
        <w:t>金额包含上。</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cstheme="minorEastAsia"/>
          <w:b/>
          <w:bCs/>
          <w:sz w:val="21"/>
          <w:szCs w:val="21"/>
          <w:lang w:val="en-US" w:eastAsia="zh-CN"/>
        </w:rPr>
      </w:pPr>
      <w:bookmarkStart w:id="48" w:name="_Toc8677"/>
      <w:r>
        <w:rPr>
          <w:rFonts w:hint="eastAsia" w:asciiTheme="minorEastAsia" w:hAnsiTheme="minorEastAsia" w:cstheme="minorEastAsia"/>
          <w:b/>
          <w:bCs/>
          <w:sz w:val="21"/>
          <w:szCs w:val="21"/>
          <w:lang w:val="en-US" w:eastAsia="zh-CN"/>
        </w:rPr>
        <w:t>2.13 工会经费是按照工资总额的2%计提，这个工资指的是员工的应发工资吗？</w:t>
      </w:r>
      <w:bookmarkEnd w:id="48"/>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应该是实发工资，即申报个税时的工资。但是实发与应发差异不大，且只是时间性差异，一般实务中按应发来计提。</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sz w:val="21"/>
          <w:szCs w:val="21"/>
          <w:lang w:val="en-US" w:eastAsia="zh-CN"/>
        </w:rPr>
      </w:pPr>
      <w:bookmarkStart w:id="49" w:name="_Toc2166"/>
      <w:r>
        <w:rPr>
          <w:rFonts w:hint="eastAsia" w:asciiTheme="minorEastAsia" w:hAnsiTheme="minorEastAsia" w:cstheme="minorEastAsia"/>
          <w:b/>
          <w:bCs/>
          <w:sz w:val="21"/>
          <w:szCs w:val="21"/>
          <w:lang w:val="en-US" w:eastAsia="zh-CN"/>
        </w:rPr>
        <w:t>2.14 有协议约定，我司入驻二手盘后，收到小业主缴纳之前物业公司管理期间的物业费，按7:3的比例进行划分。现在我司收到该款项后，如何操作？（2022-4-30修改收费项目和费用类型）</w:t>
      </w:r>
      <w:bookmarkEnd w:id="49"/>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上家物业公司提供的管理服务，我司并未提供相应管理服务，之后我司收到的款项不应作为我司的物业管理费收入，该款项应作为代收代付列支。</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根据协议，我司因收到款而获取相应的分成，其分成收入是我司提供的收款服务而获得的，应该将该分成部分作为我司收入。</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具体操作如下：</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1）</w:t>
      </w:r>
      <w:r>
        <w:rPr>
          <w:rFonts w:hint="default" w:asciiTheme="minorEastAsia" w:hAnsiTheme="minorEastAsia" w:cstheme="minorEastAsia"/>
          <w:b w:val="0"/>
          <w:bCs w:val="0"/>
          <w:sz w:val="21"/>
          <w:szCs w:val="21"/>
          <w:lang w:val="en-US" w:eastAsia="zh-CN"/>
        </w:rPr>
        <w:t>收到之前小业主缴纳的款项，在收费云里录入</w:t>
      </w:r>
      <w:r>
        <w:rPr>
          <w:rFonts w:hint="eastAsia" w:asciiTheme="minorEastAsia" w:hAnsiTheme="minorEastAsia" w:cstheme="minorEastAsia"/>
          <w:b w:val="0"/>
          <w:bCs w:val="0"/>
          <w:sz w:val="21"/>
          <w:szCs w:val="21"/>
          <w:lang w:val="en-US" w:eastAsia="zh-CN"/>
        </w:rPr>
        <w:t>“20602-5代收甲方费用（物业服务费）”</w:t>
      </w:r>
      <w:r>
        <w:rPr>
          <w:rFonts w:hint="default" w:asciiTheme="minorEastAsia" w:hAnsiTheme="minorEastAsia" w:cstheme="minorEastAsia"/>
          <w:b w:val="0"/>
          <w:bCs w:val="0"/>
          <w:sz w:val="21"/>
          <w:szCs w:val="21"/>
          <w:lang w:val="en-US" w:eastAsia="zh-CN"/>
        </w:rPr>
        <w:t>，生成凭证如下：</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借：银行存款（银联通道/现金等等）</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 xml:space="preserve">   贷：其他应付款-代甲方代收代付款项-管理费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2）</w:t>
      </w:r>
      <w:r>
        <w:rPr>
          <w:rFonts w:hint="default" w:asciiTheme="minorEastAsia" w:hAnsiTheme="minorEastAsia" w:cstheme="minorEastAsia"/>
          <w:b w:val="0"/>
          <w:bCs w:val="0"/>
          <w:sz w:val="21"/>
          <w:szCs w:val="21"/>
          <w:lang w:val="en-US" w:eastAsia="zh-CN"/>
        </w:rPr>
        <w:t>根据协议比例支付上家公司的物业费，走一期报销单报销（附件为请款单之类）</w:t>
      </w:r>
      <w:r>
        <w:rPr>
          <w:rFonts w:hint="eastAsia" w:asciiTheme="minorEastAsia" w:hAnsiTheme="minorEastAsia" w:cstheme="minorEastAsia"/>
          <w:b w:val="0"/>
          <w:bCs w:val="0"/>
          <w:sz w:val="21"/>
          <w:szCs w:val="21"/>
          <w:lang w:val="en-US" w:eastAsia="zh-CN"/>
        </w:rPr>
        <w:t>，费用类型为“TYFY043代收付项目-代收付甲方-管理费”，生成凭证如下</w:t>
      </w:r>
      <w:r>
        <w:rPr>
          <w:rFonts w:hint="default" w:asciiTheme="minorEastAsia" w:hAnsiTheme="minorEastAsia" w:cstheme="minorEastAsia"/>
          <w:b w:val="0"/>
          <w:bCs w:val="0"/>
          <w:sz w:val="21"/>
          <w:szCs w:val="21"/>
          <w:lang w:val="en-US" w:eastAsia="zh-CN"/>
        </w:rPr>
        <w:t>：</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借：其他应付款-代甲方代收代付款项-管理费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 xml:space="preserve">   贷：银行存款</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3）</w:t>
      </w:r>
      <w:r>
        <w:rPr>
          <w:rFonts w:hint="default" w:asciiTheme="minorEastAsia" w:hAnsiTheme="minorEastAsia" w:cstheme="minorEastAsia"/>
          <w:b w:val="0"/>
          <w:bCs w:val="0"/>
          <w:sz w:val="21"/>
          <w:szCs w:val="21"/>
          <w:lang w:val="en-US" w:eastAsia="zh-CN"/>
        </w:rPr>
        <w:t>计提我司根据协议应取得的收入，走总账核算单（附件为收到款项的明细表，协议关键条款，总账上的金额）：</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借：其他应付款-代甲方代收代付款项-管理费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 xml:space="preserve">   贷：主营业务收入-物业管理-其他</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default" w:asciiTheme="minorEastAsia" w:hAnsiTheme="minorEastAsia" w:cstheme="minorEastAsia"/>
          <w:b w:val="0"/>
          <w:bCs w:val="0"/>
          <w:sz w:val="21"/>
          <w:szCs w:val="21"/>
          <w:lang w:val="en-US" w:eastAsia="zh-CN"/>
        </w:rPr>
        <w:t xml:space="preserve">         销项税</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cstheme="minorEastAsia"/>
          <w:b/>
          <w:bCs/>
          <w:sz w:val="21"/>
          <w:szCs w:val="21"/>
          <w:lang w:val="en-US" w:eastAsia="zh-CN"/>
        </w:rPr>
      </w:pPr>
      <w:bookmarkStart w:id="50" w:name="_Toc13830"/>
      <w:r>
        <w:rPr>
          <w:rFonts w:hint="eastAsia" w:asciiTheme="minorEastAsia" w:hAnsiTheme="minorEastAsia" w:cstheme="minorEastAsia"/>
          <w:b/>
          <w:bCs/>
          <w:sz w:val="21"/>
          <w:szCs w:val="21"/>
          <w:lang w:val="en-US" w:eastAsia="zh-CN"/>
        </w:rPr>
        <w:t>2.15 项目购入天然气用于供暖及制冷的能源，如何处理天然气成本？</w:t>
      </w:r>
      <w:bookmarkEnd w:id="50"/>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经与项目沟通，目前有商业物业的中央空调主机是直燃机，该设备的能源为天然气，设备有制冷、制热功能，这种情况天然气作为中央空调能耗成本入账。</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由于天然气作为清洁能源，以后天然气作为能源的现象会越来越多，成本核算以该天然气的使用对象进行归集。</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cstheme="minorEastAsia"/>
          <w:b/>
          <w:bCs/>
          <w:sz w:val="21"/>
          <w:szCs w:val="21"/>
          <w:lang w:val="en-US" w:eastAsia="zh-CN"/>
        </w:rPr>
      </w:pPr>
      <w:bookmarkStart w:id="51" w:name="_Toc18558"/>
      <w:r>
        <w:rPr>
          <w:rFonts w:hint="eastAsia" w:asciiTheme="minorEastAsia" w:hAnsiTheme="minorEastAsia" w:cstheme="minorEastAsia"/>
          <w:b/>
          <w:bCs/>
          <w:sz w:val="21"/>
          <w:szCs w:val="21"/>
          <w:lang w:val="en-US" w:eastAsia="zh-CN"/>
        </w:rPr>
        <w:t>2.16 因特殊情况接待员工家属支付的相关开支记入什么科目？</w:t>
      </w:r>
      <w:bookmarkEnd w:id="51"/>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记入损益类科目其他福利费及应付职工薪酬福利费科目。</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支持性文件：《企业会计准则第9号-职工薪酬》，第二条“企业提供给职工配偶、子女、受赡养人、已故员工遗属及其他受益人等的福利，也属于职工薪酬”</w:t>
      </w:r>
    </w:p>
    <w:p>
      <w:pPr>
        <w:pageBreakBefore w:val="0"/>
        <w:widowControl w:val="0"/>
        <w:shd w:val="clear" w:fill="FFFF0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cstheme="minorEastAsia"/>
          <w:b/>
          <w:bCs/>
          <w:sz w:val="21"/>
          <w:szCs w:val="21"/>
          <w:lang w:val="en-US" w:eastAsia="zh-CN"/>
        </w:rPr>
      </w:pPr>
      <w:bookmarkStart w:id="52" w:name="_Toc17104"/>
      <w:r>
        <w:rPr>
          <w:rFonts w:hint="eastAsia" w:asciiTheme="minorEastAsia" w:hAnsiTheme="minorEastAsia" w:cstheme="minorEastAsia"/>
          <w:b/>
          <w:bCs/>
          <w:sz w:val="21"/>
          <w:szCs w:val="21"/>
          <w:lang w:val="en-US" w:eastAsia="zh-CN"/>
        </w:rPr>
        <w:t>2.17 “小业主维护费”的使用范围</w:t>
      </w:r>
      <w:bookmarkEnd w:id="52"/>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小业主维护费仅指节假日或特殊时点，管理处为小区里的孤寡老人、老弱病残送温暖、送清凉（包括米面粮油）等支出，也包括管理处在六一送业主小孩礼物、妇女节送女业主花等等，即该费用支出具有普适性。</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小业主维护费不包括管理处\大区为维护业委会关系、某些关键人员的支出，这些费用应计入业务招待费。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小业方维护费的费用类型为“WYYY089办公费用-小业主维护费”。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sz w:val="21"/>
          <w:szCs w:val="21"/>
          <w:lang w:val="en-US" w:eastAsia="zh-CN"/>
        </w:rPr>
      </w:pPr>
      <w:bookmarkStart w:id="53" w:name="_Toc29976"/>
      <w:r>
        <w:rPr>
          <w:rFonts w:hint="eastAsia" w:asciiTheme="minorEastAsia" w:hAnsiTheme="minorEastAsia" w:cstheme="minorEastAsia"/>
          <w:b/>
          <w:bCs/>
          <w:sz w:val="21"/>
          <w:szCs w:val="21"/>
          <w:lang w:val="en-US" w:eastAsia="zh-CN"/>
        </w:rPr>
        <w:t>2.18 政府发钱给企业，企业用以做培训的入账处理</w:t>
      </w:r>
      <w:bookmarkEnd w:id="53"/>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根据</w:t>
      </w:r>
      <w:r>
        <w:rPr>
          <w:rFonts w:hint="eastAsia" w:asciiTheme="minorEastAsia" w:hAnsiTheme="minorEastAsia" w:cstheme="minorEastAsia"/>
          <w:sz w:val="21"/>
          <w:szCs w:val="21"/>
          <w:lang w:val="en-US" w:eastAsia="zh-CN"/>
        </w:rPr>
        <w:t>政府相关</w:t>
      </w:r>
      <w:r>
        <w:rPr>
          <w:rFonts w:hint="default" w:asciiTheme="minorEastAsia" w:hAnsiTheme="minorEastAsia" w:cstheme="minorEastAsia"/>
          <w:sz w:val="21"/>
          <w:szCs w:val="21"/>
          <w:lang w:val="en-US" w:eastAsia="zh-CN"/>
        </w:rPr>
        <w:t>文件的性质，有两种操作：</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1、企业收到政府的钱，做代收代付，支付出去做代收代付。</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2、企业收到钱，做其他收益，支付出去做培训费。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具体判断依据：</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如果</w:t>
      </w:r>
      <w:r>
        <w:rPr>
          <w:rFonts w:hint="default" w:asciiTheme="minorEastAsia" w:hAnsiTheme="minorEastAsia" w:cstheme="minorEastAsia"/>
          <w:sz w:val="21"/>
          <w:szCs w:val="21"/>
          <w:lang w:val="en-US" w:eastAsia="zh-CN"/>
        </w:rPr>
        <w:t>政府指定了款项用途</w:t>
      </w:r>
      <w:r>
        <w:rPr>
          <w:rFonts w:hint="eastAsia" w:asciiTheme="minorEastAsia" w:hAnsiTheme="minorEastAsia" w:cstheme="minorEastAsia"/>
          <w:sz w:val="21"/>
          <w:szCs w:val="21"/>
          <w:lang w:val="en-US" w:eastAsia="zh-CN"/>
        </w:rPr>
        <w:t>且</w:t>
      </w:r>
      <w:r>
        <w:rPr>
          <w:rFonts w:hint="default" w:asciiTheme="minorEastAsia" w:hAnsiTheme="minorEastAsia" w:cstheme="minorEastAsia"/>
          <w:sz w:val="21"/>
          <w:szCs w:val="21"/>
          <w:lang w:val="en-US" w:eastAsia="zh-CN"/>
        </w:rPr>
        <w:t>指定款项的使用方法</w:t>
      </w:r>
      <w:r>
        <w:rPr>
          <w:rFonts w:hint="eastAsia" w:asciiTheme="minorEastAsia" w:hAnsiTheme="minorEastAsia" w:cstheme="minorEastAsia"/>
          <w:sz w:val="21"/>
          <w:szCs w:val="21"/>
          <w:lang w:val="en-US" w:eastAsia="zh-CN"/>
        </w:rPr>
        <w:t>如支付给特定的企业或员工，则在收款时作为代收代付处理，否则</w:t>
      </w:r>
      <w:r>
        <w:rPr>
          <w:rFonts w:hint="default" w:asciiTheme="minorEastAsia" w:hAnsiTheme="minorEastAsia" w:cstheme="minorEastAsia"/>
          <w:sz w:val="21"/>
          <w:szCs w:val="21"/>
          <w:lang w:val="en-US" w:eastAsia="zh-CN"/>
        </w:rPr>
        <w:t>做其他收益</w:t>
      </w:r>
      <w:r>
        <w:rPr>
          <w:rFonts w:hint="eastAsia" w:asciiTheme="minorEastAsia" w:hAnsiTheme="minorEastAsia" w:cstheme="minorEastAsia"/>
          <w:sz w:val="21"/>
          <w:szCs w:val="21"/>
          <w:lang w:val="en-US" w:eastAsia="zh-CN"/>
        </w:rPr>
        <w:t>处理。</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sz w:val="21"/>
          <w:szCs w:val="21"/>
          <w:lang w:val="en-US" w:eastAsia="zh-CN"/>
        </w:rPr>
      </w:pPr>
      <w:bookmarkStart w:id="54" w:name="_Toc5939"/>
      <w:r>
        <w:rPr>
          <w:rFonts w:hint="eastAsia" w:asciiTheme="minorEastAsia" w:hAnsiTheme="minorEastAsia" w:cstheme="minorEastAsia"/>
          <w:b/>
          <w:bCs/>
          <w:sz w:val="21"/>
          <w:szCs w:val="21"/>
          <w:lang w:val="en-US" w:eastAsia="zh-CN"/>
        </w:rPr>
        <w:t>2.19 损益科目“软件/平台使用费”的核算内容有哪些？</w:t>
      </w:r>
      <w:bookmarkEnd w:id="54"/>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软件使用费核算范围：软件/平台使用权授权费（包括云平台使用费，譬如阿里云、百度云等云平台使用费）以及授权方的软件维护费、计入特定业务成本以外的CA证书费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软件使用授权</w:t>
      </w:r>
      <w:r>
        <w:rPr>
          <w:rFonts w:hint="eastAsia" w:asciiTheme="minorEastAsia" w:hAnsiTheme="minorEastAsia" w:cstheme="minorEastAsia"/>
          <w:sz w:val="21"/>
          <w:szCs w:val="21"/>
          <w:lang w:val="en-US" w:eastAsia="zh-CN"/>
        </w:rPr>
        <w:t>指的是软件许可合同中依照协议约定，软件使用人不享有软件所有权，但可以在协议约定的时间、地点，按照约定的方式行使软件使用权，使用人因取得软件使用权而应支付给软件所有权人授权费用。</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通俗的说就是为使用某软件而支付给软件所有权人的授权费，例如集团成员企业支付给一应科技公司一应云平台使用费。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CA证书费</w:t>
      </w:r>
      <w:r>
        <w:rPr>
          <w:rFonts w:hint="eastAsia" w:asciiTheme="minorEastAsia" w:hAnsiTheme="minorEastAsia" w:cstheme="minorEastAsia"/>
          <w:sz w:val="21"/>
          <w:szCs w:val="21"/>
          <w:lang w:val="en-US" w:eastAsia="zh-CN"/>
        </w:rPr>
        <w:t>及其续费，直接入记该证书相关业务活动费用，如投标用的软件CA证书续费入销售费用投标费，如果CA证不是为专门的业务发生，也通过“办公费用-软件使用费”核算。</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b/>
          <w:bCs/>
          <w:sz w:val="21"/>
          <w:szCs w:val="21"/>
          <w:lang w:val="en-US" w:eastAsia="zh-CN"/>
        </w:rPr>
        <w:t>数字证书</w:t>
      </w:r>
      <w:r>
        <w:rPr>
          <w:rFonts w:hint="eastAsia" w:asciiTheme="minorEastAsia" w:hAnsiTheme="minorEastAsia" w:cstheme="minorEastAsia"/>
          <w:sz w:val="21"/>
          <w:szCs w:val="21"/>
          <w:lang w:val="en-US" w:eastAsia="zh-CN"/>
        </w:rPr>
        <w:t>是由CA机构颁发的证明（也就是问题中提及的CA证书），它包含了公钥、公钥拥有者名称、CA的数字签名、有效期、授权中心名称、证书序列号等信息。我们可以通俗的理解为数字证书是个人或企业在网络上的身份证。</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C</w:t>
      </w:r>
      <w:r>
        <w:rPr>
          <w:rFonts w:hint="default" w:asciiTheme="minorEastAsia" w:hAnsiTheme="minorEastAsia" w:cstheme="minorEastAsia"/>
          <w:b/>
          <w:bCs/>
          <w:sz w:val="21"/>
          <w:szCs w:val="21"/>
          <w:lang w:val="en-US" w:eastAsia="zh-CN"/>
        </w:rPr>
        <w:t>A机构</w:t>
      </w:r>
      <w:r>
        <w:rPr>
          <w:rFonts w:hint="default" w:asciiTheme="minorEastAsia" w:hAnsiTheme="minorEastAsia" w:cstheme="minorEastAsia"/>
          <w:sz w:val="21"/>
          <w:szCs w:val="21"/>
          <w:lang w:val="en-US" w:eastAsia="zh-CN"/>
        </w:rPr>
        <w:t>，又称为证书授证中心，在电子合同行业里，它就是颁发CA证书的专业第三方机构。</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sz w:val="21"/>
          <w:szCs w:val="21"/>
          <w:lang w:val="en-US" w:eastAsia="zh-CN"/>
        </w:rPr>
      </w:pPr>
      <w:bookmarkStart w:id="55" w:name="_Toc28670"/>
      <w:r>
        <w:rPr>
          <w:rFonts w:hint="eastAsia" w:asciiTheme="minorEastAsia" w:hAnsiTheme="minorEastAsia" w:cstheme="minorEastAsia"/>
          <w:b/>
          <w:bCs/>
          <w:sz w:val="21"/>
          <w:szCs w:val="21"/>
          <w:lang w:val="en-US" w:eastAsia="zh-CN"/>
        </w:rPr>
        <w:t>2.20 “8401.01.01.09劳务派遣劳务费”科目的核算内容有哪些</w:t>
      </w:r>
      <w:bookmarkEnd w:id="55"/>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主要有两个核算内容：</w:t>
      </w:r>
    </w:p>
    <w:p>
      <w:pPr>
        <w:pageBreakBefore w:val="0"/>
        <w:widowControl w:val="0"/>
        <w:numPr>
          <w:ilvl w:val="0"/>
          <w:numId w:val="4"/>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支付给劳务派遗公司的与使用派遗人员相关的人工、社保、公积金以及劳务派遗公司的服务费。</w:t>
      </w:r>
    </w:p>
    <w:p>
      <w:pPr>
        <w:pageBreakBefore w:val="0"/>
        <w:widowControl w:val="0"/>
        <w:numPr>
          <w:ilvl w:val="0"/>
          <w:numId w:val="4"/>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支付给临时劳务人员（如志愿者或其他临时人员）的报酬（劳务报酬未列入公司工资表）。</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注意事项：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核算支付给劳务派遣公司劳务费应同时满足以下两个条件：</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A、劳务派遣人员的工资和社保由我司支付给人力资源公司（不直接支付给用工人员）；</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B、人力资源公司向我司开出的发票内容为劳务派遣服务，见下图</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drawing>
          <wp:inline distT="0" distB="0" distL="114300" distR="114300">
            <wp:extent cx="6297930" cy="3552190"/>
            <wp:effectExtent l="0" t="0" r="7620" b="10160"/>
            <wp:docPr id="24" name="图片 24" descr="1627615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7615979(1)"/>
                    <pic:cNvPicPr>
                      <a:picLocks noChangeAspect="1"/>
                    </pic:cNvPicPr>
                  </pic:nvPicPr>
                  <pic:blipFill>
                    <a:blip r:embed="rId8"/>
                    <a:stretch>
                      <a:fillRect/>
                    </a:stretch>
                  </pic:blipFill>
                  <pic:spPr>
                    <a:xfrm>
                      <a:off x="0" y="0"/>
                      <a:ext cx="6297930" cy="3552190"/>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sz w:val="21"/>
          <w:szCs w:val="21"/>
          <w:lang w:val="en-US" w:eastAsia="zh-CN"/>
        </w:rPr>
      </w:pPr>
      <w:bookmarkStart w:id="56" w:name="_Toc10876"/>
      <w:r>
        <w:rPr>
          <w:rFonts w:hint="eastAsia" w:asciiTheme="minorEastAsia" w:hAnsiTheme="minorEastAsia" w:cstheme="minorEastAsia"/>
          <w:b/>
          <w:bCs/>
          <w:sz w:val="21"/>
          <w:szCs w:val="21"/>
          <w:lang w:val="en-US" w:eastAsia="zh-CN"/>
        </w:rPr>
        <w:t>2.21 “8111.04 投资收益-债权处置损益”科目的核算内容和业务范围</w:t>
      </w:r>
      <w:bookmarkEnd w:id="56"/>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numPr>
          <w:ilvl w:val="0"/>
          <w:numId w:val="5"/>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本科目核算对外转让应收账款业务中应收账款账面价值与取得对价之间的差额。</w:t>
      </w:r>
    </w:p>
    <w:p>
      <w:pPr>
        <w:pageBreakBefore w:val="0"/>
        <w:widowControl w:val="0"/>
        <w:numPr>
          <w:ilvl w:val="0"/>
          <w:numId w:val="5"/>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转让应收账款</w:t>
      </w:r>
      <w:r>
        <w:rPr>
          <w:rFonts w:hint="default" w:asciiTheme="minorEastAsia" w:hAnsiTheme="minorEastAsia" w:cstheme="minorEastAsia"/>
          <w:sz w:val="21"/>
          <w:szCs w:val="21"/>
          <w:lang w:val="en-US" w:eastAsia="zh-CN"/>
        </w:rPr>
        <w:t>与应收账款减</w:t>
      </w:r>
      <w:r>
        <w:rPr>
          <w:rFonts w:hint="eastAsia" w:asciiTheme="minorEastAsia" w:hAnsiTheme="minorEastAsia" w:cstheme="minorEastAsia"/>
          <w:sz w:val="21"/>
          <w:szCs w:val="21"/>
          <w:lang w:val="en-US" w:eastAsia="zh-CN"/>
        </w:rPr>
        <w:t>免、</w:t>
      </w:r>
      <w:r>
        <w:rPr>
          <w:rFonts w:hint="default" w:asciiTheme="minorEastAsia" w:hAnsiTheme="minorEastAsia" w:cstheme="minorEastAsia"/>
          <w:sz w:val="21"/>
          <w:szCs w:val="21"/>
          <w:lang w:val="en-US" w:eastAsia="zh-CN"/>
        </w:rPr>
        <w:t>应收账款注销</w:t>
      </w:r>
      <w:r>
        <w:rPr>
          <w:rFonts w:hint="eastAsia" w:asciiTheme="minorEastAsia" w:hAnsiTheme="minorEastAsia" w:cstheme="minorEastAsia"/>
          <w:sz w:val="21"/>
          <w:szCs w:val="21"/>
          <w:lang w:val="en-US" w:eastAsia="zh-CN"/>
        </w:rPr>
        <w:t>业务的</w:t>
      </w:r>
      <w:r>
        <w:rPr>
          <w:rFonts w:hint="default" w:asciiTheme="minorEastAsia" w:hAnsiTheme="minorEastAsia" w:cstheme="minorEastAsia"/>
          <w:sz w:val="21"/>
          <w:szCs w:val="21"/>
          <w:lang w:val="en-US" w:eastAsia="zh-CN"/>
        </w:rPr>
        <w:t>区别如下：</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①应收账款转让涉及与第三方的交易，出售方对转出的应收账款不负有回购义务</w:t>
      </w:r>
      <w:r>
        <w:rPr>
          <w:rFonts w:hint="eastAsia" w:asciiTheme="minorEastAsia" w:hAnsiTheme="minorEastAsia" w:cstheme="minorEastAsia"/>
          <w:sz w:val="21"/>
          <w:szCs w:val="21"/>
          <w:lang w:val="en-US" w:eastAsia="zh-CN"/>
        </w:rPr>
        <w:t>，即受让方没有追偿权（该条款在转让合同中应注明，见下图）</w:t>
      </w:r>
      <w:r>
        <w:rPr>
          <w:rFonts w:hint="default" w:asciiTheme="minorEastAsia" w:hAnsiTheme="minorEastAsia" w:cstheme="minorEastAsia"/>
          <w:sz w:val="21"/>
          <w:szCs w:val="21"/>
          <w:lang w:val="en-US" w:eastAsia="zh-CN"/>
        </w:rPr>
        <w:t>；</w:t>
      </w:r>
      <w:r>
        <w:drawing>
          <wp:inline distT="0" distB="0" distL="114300" distR="114300">
            <wp:extent cx="5857240" cy="2219960"/>
            <wp:effectExtent l="0" t="0" r="10160" b="889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9"/>
                    <a:stretch>
                      <a:fillRect/>
                    </a:stretch>
                  </pic:blipFill>
                  <pic:spPr>
                    <a:xfrm>
                      <a:off x="0" y="0"/>
                      <a:ext cx="5857240" cy="221996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②应收账款减免是债权人与债务人之间达成的债务减免协议，适用企业会计准则-债务重组；</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③应收账款注销是债权人取得客观资料后（满足集团《坏账损失核销管理制度》中的条件，如债务人破产清算后仍无法清偿债务），对无法收回的债权进行注销，是单方行为。</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sz w:val="21"/>
          <w:szCs w:val="21"/>
          <w:lang w:val="en-US" w:eastAsia="zh-CN"/>
        </w:rPr>
      </w:pPr>
      <w:bookmarkStart w:id="57" w:name="_Toc26066"/>
      <w:r>
        <w:rPr>
          <w:rFonts w:hint="eastAsia" w:asciiTheme="minorEastAsia" w:hAnsiTheme="minorEastAsia" w:cstheme="minorEastAsia"/>
          <w:b/>
          <w:bCs/>
          <w:sz w:val="21"/>
          <w:szCs w:val="21"/>
          <w:lang w:val="en-US" w:eastAsia="zh-CN"/>
        </w:rPr>
        <w:t>2.22 银行收的投标保函手续费使用什么科目核算</w:t>
      </w:r>
      <w:bookmarkEnd w:id="57"/>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jc w:val="both"/>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通过“8603.03.03财务费用-新-手续费-账户管理费”科目核算，另外询证函手续费也通过该科目核算。</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sz w:val="21"/>
          <w:szCs w:val="21"/>
          <w:lang w:val="en-US" w:eastAsia="zh-CN"/>
        </w:rPr>
      </w:pPr>
      <w:bookmarkStart w:id="58" w:name="_Toc1804"/>
      <w:r>
        <w:rPr>
          <w:rFonts w:hint="eastAsia" w:asciiTheme="minorEastAsia" w:hAnsiTheme="minorEastAsia" w:cstheme="minorEastAsia"/>
          <w:b/>
          <w:bCs/>
          <w:sz w:val="21"/>
          <w:szCs w:val="21"/>
          <w:lang w:val="en-US" w:eastAsia="zh-CN"/>
        </w:rPr>
        <w:t>2.23 支付给临时/兼职人员的费用可以使用差旅费吗？</w:t>
      </w:r>
      <w:bookmarkEnd w:id="58"/>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答：</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jc w:val="both"/>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属于本公司员工的才使用差旅费，临时/兼职人员费用使用劳务派遣劳务费或劳务费。</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59" w:name="_Toc11930"/>
      <w:r>
        <w:rPr>
          <w:rFonts w:hint="eastAsia" w:asciiTheme="minorEastAsia" w:hAnsiTheme="minorEastAsia" w:cstheme="minorEastAsia"/>
          <w:b/>
          <w:bCs/>
          <w:color w:val="auto"/>
          <w:sz w:val="21"/>
          <w:szCs w:val="21"/>
          <w:lang w:val="en-US" w:eastAsia="zh-CN"/>
        </w:rPr>
        <w:t>2.24 收到工会经费返还如何做账务处理？</w:t>
      </w:r>
      <w:bookmarkEnd w:id="59"/>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在收款机关账套冲减主营业务成本工会经费，根据收款单信息区分以下处理方式：</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1）收款单信息齐全，能证明工会返还工会经费</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收款单的付款人为各级工会且摘要注明“工会经费返还”等信息的（见下图），由共享中心会计根据收款单生成会计凭证冲减工会经费成本。</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drawing>
          <wp:inline distT="0" distB="0" distL="114300" distR="114300">
            <wp:extent cx="5265420" cy="290830"/>
            <wp:effectExtent l="0" t="0" r="11430" b="139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0"/>
                    <a:stretch>
                      <a:fillRect/>
                    </a:stretch>
                  </pic:blipFill>
                  <pic:spPr>
                    <a:xfrm>
                      <a:off x="0" y="0"/>
                      <a:ext cx="5265420" cy="29083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2）收款单信息不齐全，不能证明工会返还工会经费</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共享中心会计根据收款单挂未确认性质收款，由业务会计提供相关资料（如当地工会或税局的返还公告等）走总账核算单认领。</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注意事项：</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val="0"/>
          <w:i w:val="0"/>
          <w:caps w:val="0"/>
          <w:color w:val="333333"/>
          <w:spacing w:val="0"/>
          <w:sz w:val="21"/>
          <w:szCs w:val="21"/>
          <w:highlight w:val="none"/>
          <w:shd w:val="clear" w:fill="FFFFFF"/>
          <w:lang w:val="en-US" w:eastAsia="zh-CN"/>
        </w:rPr>
      </w:pPr>
      <w:r>
        <w:rPr>
          <w:rFonts w:hint="default" w:ascii="Arial" w:hAnsi="Arial" w:eastAsia="宋体" w:cs="Arial"/>
          <w:b w:val="0"/>
          <w:i w:val="0"/>
          <w:caps w:val="0"/>
          <w:color w:val="333333"/>
          <w:spacing w:val="0"/>
          <w:sz w:val="21"/>
          <w:szCs w:val="21"/>
          <w:highlight w:val="none"/>
          <w:shd w:val="clear" w:fill="FFFFFF"/>
          <w:lang w:val="en-US" w:eastAsia="zh-CN"/>
        </w:rPr>
        <w:t>1）各级工会不是政府机关，</w:t>
      </w:r>
      <w:r>
        <w:rPr>
          <w:rFonts w:hint="eastAsia" w:ascii="Arial" w:hAnsi="Arial" w:eastAsia="宋体" w:cs="Arial"/>
          <w:b w:val="0"/>
          <w:i w:val="0"/>
          <w:caps w:val="0"/>
          <w:color w:val="333333"/>
          <w:spacing w:val="0"/>
          <w:sz w:val="21"/>
          <w:szCs w:val="21"/>
          <w:highlight w:val="none"/>
          <w:shd w:val="clear" w:fill="FFFFFF"/>
          <w:lang w:val="en-US" w:eastAsia="zh-CN"/>
        </w:rPr>
        <w:t>收到的</w:t>
      </w:r>
      <w:r>
        <w:rPr>
          <w:rFonts w:hint="default" w:ascii="Arial" w:hAnsi="Arial" w:eastAsia="宋体" w:cs="Arial"/>
          <w:b w:val="0"/>
          <w:i w:val="0"/>
          <w:caps w:val="0"/>
          <w:color w:val="333333"/>
          <w:spacing w:val="0"/>
          <w:sz w:val="21"/>
          <w:szCs w:val="21"/>
          <w:highlight w:val="none"/>
          <w:shd w:val="clear" w:fill="FFFFFF"/>
          <w:lang w:val="en-US" w:eastAsia="zh-CN"/>
        </w:rPr>
        <w:t>工会经费返还不属于政府补助核算范围。</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val="0"/>
          <w:i w:val="0"/>
          <w:caps w:val="0"/>
          <w:color w:val="333333"/>
          <w:spacing w:val="0"/>
          <w:sz w:val="21"/>
          <w:szCs w:val="21"/>
          <w:highlight w:val="none"/>
          <w:shd w:val="clear" w:fill="FFFFFF"/>
          <w:lang w:val="en-US" w:eastAsia="zh-CN"/>
        </w:rPr>
      </w:pPr>
      <w:r>
        <w:rPr>
          <w:rFonts w:hint="default" w:ascii="Arial" w:hAnsi="Arial" w:eastAsia="宋体" w:cs="Arial"/>
          <w:b w:val="0"/>
          <w:i w:val="0"/>
          <w:caps w:val="0"/>
          <w:color w:val="333333"/>
          <w:spacing w:val="0"/>
          <w:sz w:val="21"/>
          <w:szCs w:val="21"/>
          <w:highlight w:val="none"/>
          <w:shd w:val="clear" w:fill="FFFFFF"/>
          <w:lang w:val="en-US" w:eastAsia="zh-CN"/>
        </w:rPr>
        <w:t>2）收到工会经费返还不通过“2211.03 应付职工薪酬-工会经费”科目核算。</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举例：合肥深长城收到合肥市总工会返还工会经费885.99元，在机关账套HF的收款分录如下：</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凭证摘要：收到合肥市总工会返还工会费用</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借：1002 银行存款                                        885.99</w:t>
      </w:r>
    </w:p>
    <w:p>
      <w:pPr>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借：8401.01.01.05 主营业务成本-主园区人工成本-工会经费    -885.99</w:t>
      </w:r>
    </w:p>
    <w:p>
      <w:pPr>
        <w:keepNext w:val="0"/>
        <w:keepLines w:val="0"/>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60" w:name="_Toc18289"/>
      <w:r>
        <w:rPr>
          <w:rFonts w:hint="eastAsia" w:asciiTheme="minorEastAsia" w:hAnsiTheme="minorEastAsia" w:cstheme="minorEastAsia"/>
          <w:b/>
          <w:bCs/>
          <w:color w:val="auto"/>
          <w:sz w:val="21"/>
          <w:szCs w:val="21"/>
          <w:lang w:val="en-US" w:eastAsia="zh-CN"/>
        </w:rPr>
        <w:t>2.25 防疫期间，社区委派义工、保安等人员进入物业小区协助维护核酸筛查秩序产生的支出核算</w:t>
      </w:r>
      <w:bookmarkEnd w:id="60"/>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防疫期间，社区委派义工、保安等人员进入物业小区协助维护核酸筛查秩序，物业公司保障该类人员而产生的餐费、住宿费用等，实质上是为保障小区安全维持秩序产生的支出，因此产生的支出作为秩序成本核算，报销时使用“WYYY010秩序成本-其他”费用类型，映射科目为“8401.01.03.99主营业务成本-新-物业管理-秩序服务成本-其他”。</w:t>
      </w:r>
    </w:p>
    <w:p>
      <w:pPr>
        <w:keepNext w:val="0"/>
        <w:keepLines w:val="0"/>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61" w:name="_Toc31451"/>
      <w:r>
        <w:rPr>
          <w:rFonts w:hint="eastAsia" w:asciiTheme="minorEastAsia" w:hAnsiTheme="minorEastAsia" w:cstheme="minorEastAsia"/>
          <w:b/>
          <w:bCs/>
          <w:color w:val="auto"/>
          <w:sz w:val="21"/>
          <w:szCs w:val="21"/>
          <w:lang w:val="en-US" w:eastAsia="zh-CN"/>
        </w:rPr>
        <w:t>2.26 债权转让的账务处理-转给第三方</w:t>
      </w:r>
      <w:bookmarkEnd w:id="61"/>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spacing w:line="360" w:lineRule="auto"/>
      </w:pPr>
      <w:r>
        <w:rPr>
          <w:rFonts w:hint="eastAsia"/>
          <w:b/>
          <w:bCs/>
        </w:rPr>
        <w:t>背景：</w:t>
      </w:r>
      <w:r>
        <w:rPr>
          <w:rFonts w:hint="eastAsia"/>
        </w:rPr>
        <w:t>甲管理处已于2</w:t>
      </w:r>
      <w:r>
        <w:t>020</w:t>
      </w:r>
      <w:r>
        <w:rPr>
          <w:rFonts w:hint="eastAsia"/>
        </w:rPr>
        <w:t>年1</w:t>
      </w:r>
      <w:r>
        <w:t>2</w:t>
      </w:r>
      <w:r>
        <w:rPr>
          <w:rFonts w:hint="eastAsia"/>
        </w:rPr>
        <w:t>月撤场，截至2</w:t>
      </w:r>
      <w:r>
        <w:t>022</w:t>
      </w:r>
      <w:r>
        <w:rPr>
          <w:rFonts w:hint="eastAsia"/>
        </w:rPr>
        <w:t>年5月3</w:t>
      </w:r>
      <w:r>
        <w:t>1</w:t>
      </w:r>
      <w:r>
        <w:rPr>
          <w:rFonts w:hint="eastAsia"/>
        </w:rPr>
        <w:t>日，应收小业主物业费的账面余额2</w:t>
      </w:r>
      <w:r>
        <w:t>00</w:t>
      </w:r>
      <w:r>
        <w:rPr>
          <w:rFonts w:hint="eastAsia"/>
        </w:rPr>
        <w:t>万元，账面已计提坏账准备1</w:t>
      </w:r>
      <w:r>
        <w:t>80</w:t>
      </w:r>
      <w:r>
        <w:rPr>
          <w:rFonts w:hint="eastAsia"/>
        </w:rPr>
        <w:t>万元。</w:t>
      </w:r>
    </w:p>
    <w:p>
      <w:pPr>
        <w:spacing w:line="360" w:lineRule="auto"/>
        <w:ind w:firstLine="420"/>
      </w:pPr>
      <w:r>
        <w:rPr>
          <w:rFonts w:hint="eastAsia"/>
        </w:rPr>
        <w:t>现甲管理处与A公司签订债权转让协议，协议约定：</w:t>
      </w:r>
    </w:p>
    <w:p>
      <w:pPr>
        <w:spacing w:line="360" w:lineRule="auto"/>
        <w:ind w:firstLine="420"/>
        <w:rPr>
          <w:rFonts w:ascii="楷体" w:hAnsi="楷体" w:eastAsia="楷体"/>
        </w:rPr>
      </w:pPr>
      <w:r>
        <w:rPr>
          <w:rFonts w:ascii="楷体" w:hAnsi="楷体" w:eastAsia="楷体"/>
        </w:rPr>
        <w:t>1</w:t>
      </w:r>
      <w:r>
        <w:rPr>
          <w:rFonts w:hint="eastAsia" w:ascii="楷体" w:hAnsi="楷体" w:eastAsia="楷体"/>
        </w:rPr>
        <w:t>-甲管理处将1</w:t>
      </w:r>
      <w:r>
        <w:rPr>
          <w:rFonts w:ascii="楷体" w:hAnsi="楷体" w:eastAsia="楷体"/>
        </w:rPr>
        <w:t>90</w:t>
      </w:r>
      <w:r>
        <w:rPr>
          <w:rFonts w:hint="eastAsia" w:ascii="楷体" w:hAnsi="楷体" w:eastAsia="楷体"/>
        </w:rPr>
        <w:t>万（根据收费云系统数据）以打包作价4</w:t>
      </w:r>
      <w:r>
        <w:rPr>
          <w:rFonts w:ascii="楷体" w:hAnsi="楷体" w:eastAsia="楷体"/>
        </w:rPr>
        <w:t>0</w:t>
      </w:r>
      <w:r>
        <w:rPr>
          <w:rFonts w:hint="eastAsia" w:ascii="楷体" w:hAnsi="楷体" w:eastAsia="楷体"/>
        </w:rPr>
        <w:t>万元的转给A公司，</w:t>
      </w:r>
    </w:p>
    <w:p>
      <w:pPr>
        <w:spacing w:line="360" w:lineRule="auto"/>
        <w:ind w:firstLine="420"/>
        <w:rPr>
          <w:rFonts w:ascii="楷体" w:hAnsi="楷体" w:eastAsia="楷体"/>
        </w:rPr>
      </w:pPr>
      <w:r>
        <w:rPr>
          <w:rFonts w:ascii="楷体" w:hAnsi="楷体" w:eastAsia="楷体"/>
        </w:rPr>
        <w:t>2</w:t>
      </w:r>
      <w:r>
        <w:rPr>
          <w:rFonts w:hint="eastAsia" w:ascii="楷体" w:hAnsi="楷体" w:eastAsia="楷体"/>
        </w:rPr>
        <w:t>-协议自A公司打款4</w:t>
      </w:r>
      <w:r>
        <w:rPr>
          <w:rFonts w:ascii="楷体" w:hAnsi="楷体" w:eastAsia="楷体"/>
        </w:rPr>
        <w:t>0</w:t>
      </w:r>
      <w:r>
        <w:rPr>
          <w:rFonts w:hint="eastAsia" w:ascii="楷体" w:hAnsi="楷体" w:eastAsia="楷体"/>
        </w:rPr>
        <w:t>万时生效，</w:t>
      </w:r>
    </w:p>
    <w:p>
      <w:pPr>
        <w:spacing w:line="360" w:lineRule="auto"/>
        <w:ind w:firstLine="420"/>
        <w:rPr>
          <w:rFonts w:ascii="楷体" w:hAnsi="楷体" w:eastAsia="楷体"/>
        </w:rPr>
      </w:pPr>
      <w:r>
        <w:rPr>
          <w:rFonts w:ascii="楷体" w:hAnsi="楷体" w:eastAsia="楷体"/>
        </w:rPr>
        <w:t>3</w:t>
      </w:r>
      <w:r>
        <w:rPr>
          <w:rFonts w:hint="eastAsia" w:ascii="楷体" w:hAnsi="楷体" w:eastAsia="楷体"/>
        </w:rPr>
        <w:t>-甲管理处只对1</w:t>
      </w:r>
      <w:r>
        <w:rPr>
          <w:rFonts w:ascii="楷体" w:hAnsi="楷体" w:eastAsia="楷体"/>
        </w:rPr>
        <w:t>90</w:t>
      </w:r>
      <w:r>
        <w:rPr>
          <w:rFonts w:hint="eastAsia" w:ascii="楷体" w:hAnsi="楷体" w:eastAsia="楷体"/>
        </w:rPr>
        <w:t>万债权的真实性及准确性负责，该债权转让后，甲管理处不再有对追索小业主物业费的权利，且对A公司后续能否从小业主收取款项不负任何责任。</w:t>
      </w:r>
    </w:p>
    <w:p>
      <w:pPr>
        <w:spacing w:line="360" w:lineRule="auto"/>
        <w:ind w:firstLine="420"/>
      </w:pPr>
      <w:r>
        <w:rPr>
          <w:rFonts w:hint="eastAsia"/>
        </w:rPr>
        <w:t>2</w:t>
      </w:r>
      <w:r>
        <w:t>022</w:t>
      </w:r>
      <w:r>
        <w:rPr>
          <w:rFonts w:hint="eastAsia"/>
        </w:rPr>
        <w:t>年6月1日，A公司将4</w:t>
      </w:r>
      <w:r>
        <w:t>0</w:t>
      </w:r>
      <w:r>
        <w:rPr>
          <w:rFonts w:hint="eastAsia"/>
        </w:rPr>
        <w:t>万转给甲管理处，甲管理处收到该款项。</w:t>
      </w:r>
    </w:p>
    <w:p>
      <w:pPr>
        <w:spacing w:line="360" w:lineRule="auto"/>
        <w:rPr>
          <w:b/>
          <w:bCs/>
        </w:rPr>
      </w:pPr>
      <w:r>
        <w:rPr>
          <w:rFonts w:hint="eastAsia"/>
          <w:b/>
          <w:bCs/>
        </w:rPr>
        <w:t>账务分析及处理如下：</w:t>
      </w:r>
    </w:p>
    <w:p>
      <w:pPr>
        <w:spacing w:line="360" w:lineRule="auto"/>
      </w:pPr>
      <w:r>
        <w:rPr>
          <w:rFonts w:hint="eastAsia"/>
        </w:rPr>
        <w:t>第一步：根据收费云系统核实的数据对账面应收账款余额进行调整</w:t>
      </w:r>
    </w:p>
    <w:p>
      <w:pPr>
        <w:spacing w:line="360" w:lineRule="auto"/>
        <w:rPr>
          <w:rFonts w:ascii="楷体" w:hAnsi="楷体" w:eastAsia="楷体"/>
        </w:rPr>
      </w:pPr>
      <w:r>
        <w:rPr>
          <w:rFonts w:hint="eastAsia" w:ascii="楷体" w:hAnsi="楷体" w:eastAsia="楷体"/>
        </w:rPr>
        <w:t xml:space="preserve">借：应收账款-物业费（小业主） </w:t>
      </w:r>
      <w:r>
        <w:rPr>
          <w:rFonts w:ascii="楷体" w:hAnsi="楷体" w:eastAsia="楷体"/>
        </w:rPr>
        <w:t xml:space="preserve">        </w:t>
      </w:r>
      <w:r>
        <w:rPr>
          <w:rFonts w:hint="eastAsia" w:ascii="楷体" w:hAnsi="楷体" w:eastAsia="楷体"/>
        </w:rPr>
        <w:t>-</w:t>
      </w:r>
      <w:r>
        <w:rPr>
          <w:rFonts w:ascii="楷体" w:hAnsi="楷体" w:eastAsia="楷体"/>
        </w:rPr>
        <w:t>10</w:t>
      </w:r>
      <w:r>
        <w:rPr>
          <w:rFonts w:hint="eastAsia" w:ascii="楷体" w:hAnsi="楷体" w:eastAsia="楷体"/>
        </w:rPr>
        <w:t>万</w:t>
      </w:r>
    </w:p>
    <w:p>
      <w:pPr>
        <w:spacing w:line="360" w:lineRule="auto"/>
        <w:rPr>
          <w:rFonts w:ascii="楷体" w:hAnsi="楷体" w:eastAsia="楷体"/>
        </w:rPr>
      </w:pPr>
      <w:r>
        <w:rPr>
          <w:rFonts w:hint="eastAsia" w:ascii="楷体" w:hAnsi="楷体" w:eastAsia="楷体"/>
        </w:rPr>
        <w:t xml:space="preserve"> </w:t>
      </w:r>
      <w:r>
        <w:rPr>
          <w:rFonts w:ascii="楷体" w:hAnsi="楷体" w:eastAsia="楷体"/>
        </w:rPr>
        <w:t xml:space="preserve">  </w:t>
      </w:r>
      <w:r>
        <w:rPr>
          <w:rFonts w:hint="eastAsia" w:ascii="楷体" w:hAnsi="楷体" w:eastAsia="楷体"/>
        </w:rPr>
        <w:t xml:space="preserve">贷：主营业务收入+销项税 </w:t>
      </w:r>
      <w:r>
        <w:rPr>
          <w:rFonts w:ascii="楷体" w:hAnsi="楷体" w:eastAsia="楷体"/>
        </w:rPr>
        <w:t xml:space="preserve">                </w:t>
      </w:r>
      <w:r>
        <w:rPr>
          <w:rFonts w:hint="eastAsia" w:ascii="楷体" w:hAnsi="楷体" w:eastAsia="楷体"/>
        </w:rPr>
        <w:t>-</w:t>
      </w:r>
      <w:r>
        <w:rPr>
          <w:rFonts w:ascii="楷体" w:hAnsi="楷体" w:eastAsia="楷体"/>
        </w:rPr>
        <w:t>10</w:t>
      </w:r>
      <w:r>
        <w:rPr>
          <w:rFonts w:hint="eastAsia" w:ascii="楷体" w:hAnsi="楷体" w:eastAsia="楷体"/>
        </w:rPr>
        <w:t>万</w:t>
      </w:r>
    </w:p>
    <w:p>
      <w:pPr>
        <w:spacing w:line="360" w:lineRule="auto"/>
      </w:pPr>
      <w:r>
        <w:rPr>
          <w:rFonts w:hint="eastAsia"/>
        </w:rPr>
        <w:t>第二步：该协议为不负后续追索权的债权转让。在收到A公司打款4</w:t>
      </w:r>
      <w:r>
        <w:t>0</w:t>
      </w:r>
      <w:r>
        <w:rPr>
          <w:rFonts w:hint="eastAsia"/>
        </w:rPr>
        <w:t>万时，意味着甲管理处对小业主的债权终止。</w:t>
      </w:r>
    </w:p>
    <w:p>
      <w:pPr>
        <w:spacing w:line="360" w:lineRule="auto"/>
        <w:rPr>
          <w:rFonts w:hint="eastAsia" w:ascii="楷体" w:hAnsi="楷体" w:eastAsia="楷体"/>
        </w:rPr>
      </w:pPr>
      <w:r>
        <w:rPr>
          <w:rFonts w:hint="eastAsia" w:ascii="楷体" w:hAnsi="楷体" w:eastAsia="楷体"/>
        </w:rPr>
        <w:t>借：银行存款</w:t>
      </w:r>
      <w:r>
        <w:rPr>
          <w:rFonts w:ascii="楷体" w:hAnsi="楷体" w:eastAsia="楷体"/>
        </w:rPr>
        <w:t xml:space="preserve">               40</w:t>
      </w:r>
      <w:r>
        <w:rPr>
          <w:rFonts w:hint="eastAsia" w:ascii="楷体" w:hAnsi="楷体" w:eastAsia="楷体"/>
        </w:rPr>
        <w:t>万</w:t>
      </w:r>
    </w:p>
    <w:p>
      <w:pPr>
        <w:spacing w:line="360" w:lineRule="auto"/>
        <w:rPr>
          <w:rFonts w:ascii="楷体" w:hAnsi="楷体" w:eastAsia="楷体"/>
          <w:color w:val="FF0000"/>
        </w:rPr>
      </w:pPr>
      <w:r>
        <w:rPr>
          <w:rFonts w:ascii="楷体" w:hAnsi="楷体" w:eastAsia="楷体"/>
          <w:color w:val="FF0000"/>
        </w:rPr>
        <w:tab/>
      </w:r>
      <w:r>
        <w:rPr>
          <w:rFonts w:hint="eastAsia" w:ascii="楷体" w:hAnsi="楷体" w:eastAsia="楷体"/>
          <w:color w:val="FF0000"/>
        </w:rPr>
        <w:t xml:space="preserve">贷：投资收益 </w:t>
      </w:r>
      <w:r>
        <w:rPr>
          <w:rFonts w:ascii="楷体" w:hAnsi="楷体" w:eastAsia="楷体"/>
          <w:color w:val="FF0000"/>
        </w:rPr>
        <w:t xml:space="preserve">         </w:t>
      </w:r>
      <w:r>
        <w:rPr>
          <w:rFonts w:hint="eastAsia" w:ascii="楷体" w:hAnsi="楷体" w:eastAsia="楷体"/>
          <w:color w:val="FF0000"/>
        </w:rPr>
        <w:t>-</w:t>
      </w:r>
      <w:r>
        <w:rPr>
          <w:rFonts w:ascii="楷体" w:hAnsi="楷体" w:eastAsia="楷体"/>
          <w:color w:val="FF0000"/>
        </w:rPr>
        <w:t>150</w:t>
      </w:r>
      <w:r>
        <w:rPr>
          <w:rFonts w:hint="eastAsia" w:ascii="楷体" w:hAnsi="楷体" w:eastAsia="楷体"/>
          <w:color w:val="FF0000"/>
        </w:rPr>
        <w:t>万</w:t>
      </w:r>
    </w:p>
    <w:p>
      <w:pPr>
        <w:spacing w:line="360" w:lineRule="auto"/>
        <w:ind w:firstLine="420"/>
        <w:rPr>
          <w:rFonts w:ascii="楷体" w:hAnsi="楷体" w:eastAsia="楷体"/>
        </w:rPr>
      </w:pPr>
      <w:r>
        <w:rPr>
          <w:rFonts w:hint="eastAsia" w:ascii="楷体" w:hAnsi="楷体" w:eastAsia="楷体"/>
        </w:rPr>
        <w:t xml:space="preserve">贷：应收账款-物业费（小业主） </w:t>
      </w:r>
      <w:r>
        <w:rPr>
          <w:rFonts w:ascii="楷体" w:hAnsi="楷体" w:eastAsia="楷体"/>
        </w:rPr>
        <w:t xml:space="preserve">        190</w:t>
      </w:r>
      <w:r>
        <w:rPr>
          <w:rFonts w:hint="eastAsia" w:ascii="楷体" w:hAnsi="楷体" w:eastAsia="楷体"/>
        </w:rPr>
        <w:t>万</w:t>
      </w:r>
    </w:p>
    <w:p>
      <w:pPr>
        <w:spacing w:line="360" w:lineRule="auto"/>
      </w:pPr>
      <w:r>
        <w:rPr>
          <w:rFonts w:hint="eastAsia"/>
        </w:rPr>
        <w:t>月底时应收账款-物业费余额为0，计算坏账准备时，坏账余额测算为0。</w:t>
      </w:r>
    </w:p>
    <w:p>
      <w:pPr>
        <w:spacing w:line="360" w:lineRule="auto"/>
        <w:rPr>
          <w:rFonts w:ascii="楷体" w:hAnsi="楷体" w:eastAsia="楷体"/>
        </w:rPr>
      </w:pPr>
      <w:r>
        <w:rPr>
          <w:rFonts w:hint="eastAsia" w:ascii="楷体" w:hAnsi="楷体" w:eastAsia="楷体"/>
        </w:rPr>
        <w:t xml:space="preserve">借：资产减值损失（信用减值损失） </w:t>
      </w:r>
      <w:r>
        <w:rPr>
          <w:rFonts w:ascii="楷体" w:hAnsi="楷体" w:eastAsia="楷体"/>
        </w:rPr>
        <w:t xml:space="preserve">     -180</w:t>
      </w:r>
      <w:r>
        <w:rPr>
          <w:rFonts w:hint="eastAsia" w:ascii="楷体" w:hAnsi="楷体" w:eastAsia="楷体"/>
        </w:rPr>
        <w:t>万</w:t>
      </w:r>
    </w:p>
    <w:p>
      <w:pPr>
        <w:spacing w:line="360" w:lineRule="auto"/>
        <w:ind w:firstLine="420"/>
        <w:rPr>
          <w:rFonts w:hint="eastAsia" w:ascii="楷体" w:hAnsi="楷体" w:eastAsia="楷体"/>
        </w:rPr>
      </w:pPr>
      <w:r>
        <w:rPr>
          <w:rFonts w:hint="eastAsia" w:ascii="楷体" w:hAnsi="楷体" w:eastAsia="楷体"/>
        </w:rPr>
        <w:t xml:space="preserve">贷：坏账准备-应收账款 </w:t>
      </w:r>
      <w:r>
        <w:rPr>
          <w:rFonts w:ascii="楷体" w:hAnsi="楷体" w:eastAsia="楷体"/>
        </w:rPr>
        <w:t xml:space="preserve">              -180</w:t>
      </w:r>
      <w:r>
        <w:rPr>
          <w:rFonts w:hint="eastAsia" w:ascii="楷体" w:hAnsi="楷体" w:eastAsia="楷体"/>
        </w:rPr>
        <w:t>万</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p>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eastAsiaTheme="minorEastAsia" w:cstheme="minorEastAsia"/>
          <w:b/>
          <w:bCs/>
          <w:sz w:val="28"/>
          <w:szCs w:val="28"/>
          <w:lang w:val="en-US" w:eastAsia="zh-CN"/>
        </w:rPr>
      </w:pPr>
      <w:bookmarkStart w:id="62" w:name="_Toc8576"/>
      <w:r>
        <w:rPr>
          <w:rFonts w:hint="eastAsia" w:asciiTheme="minorEastAsia" w:hAnsiTheme="minorEastAsia" w:eastAsiaTheme="minorEastAsia" w:cstheme="minorEastAsia"/>
          <w:b/>
          <w:bCs/>
          <w:sz w:val="28"/>
          <w:szCs w:val="28"/>
          <w:lang w:val="en-US" w:eastAsia="zh-CN"/>
        </w:rPr>
        <w:t>3 税务类问题</w:t>
      </w:r>
      <w:bookmarkEnd w:id="62"/>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63" w:name="_Toc4051"/>
      <w:bookmarkStart w:id="64" w:name="_Toc31447"/>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sz w:val="21"/>
          <w:szCs w:val="21"/>
        </w:rPr>
        <w:t>在税率调整后（比如2019-07期）发生退款，退款所属期为税率调整前（比如2019-03期）的，手工生成凭证时，对应的销项税率是用原税率还是用新税率？</w:t>
      </w:r>
      <w:bookmarkEnd w:id="63"/>
      <w:bookmarkEnd w:id="64"/>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shd w:val="clear" w:color="auto" w:fill="FFFFFF"/>
        </w:rPr>
      </w:pPr>
      <w:r>
        <w:rPr>
          <w:rFonts w:hint="eastAsia" w:asciiTheme="minorEastAsia" w:hAnsiTheme="minorEastAsia" w:eastAsiaTheme="minorEastAsia" w:cstheme="minorEastAsia"/>
          <w:b/>
          <w:sz w:val="21"/>
          <w:szCs w:val="21"/>
          <w:shd w:val="clear" w:color="auto" w:fill="FFFFFF"/>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一般处理：统一用新税率进行处理；</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特殊处理：如果已开出发票，且未将发票给客户或收到客户退回的发票后，按原发票开出红字发票处理。</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例子1：2019年3月收到车位租赁费1100元（含税），当月已生成收入凭证，在2019年7月发生退款。</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处理方式：2019年3月收款时分录</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借：银行存款1100</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贷：主营业务收入 1000</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应交税费-销项税10%  100</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2019年7月退款时分录</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贷：主营业务收入-1009.17</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应交税费-销项税9%  -90.83</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 xml:space="preserve">贷：银行存款： 1100 </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例子2：2019年3月收到车位租赁费1100元（含税），当月只有收款凭证，未收成收入凭证，在2019年7月发生退款。</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处理方式：2019年3月收款时分录</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借：银行存款  1100</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贷：预收账款  1100</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2019年7月退款时分录，先按新税率补计提应收及收入，再按新税率做收入冲销</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借：应收账款               1100</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贷：主营业务收入           1009.17</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应交税费-销项税         90.83</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贷：主营业务收入      -1009.17</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应交税费-销项税9%  -90.83</w:t>
      </w:r>
    </w:p>
    <w:p>
      <w:pPr>
        <w:pageBreakBefore w:val="0"/>
        <w:widowControl/>
        <w:kinsoku/>
        <w:wordWrap/>
        <w:overflowPunct/>
        <w:topLinePunct w:val="0"/>
        <w:autoSpaceDE/>
        <w:autoSpaceDN/>
        <w:bidi w:val="0"/>
        <w:spacing w:line="360" w:lineRule="auto"/>
        <w:ind w:firstLine="405"/>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 xml:space="preserve">贷：银行存款：1100 </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65" w:name="_Toc24508"/>
      <w:bookmarkStart w:id="66" w:name="_Toc5935"/>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sz w:val="21"/>
          <w:szCs w:val="21"/>
        </w:rPr>
        <w:t>取得的发票，税率调整前期（比如2019-03期）的分录有错误，在后期需调整时，如何处理新旧税率？</w:t>
      </w:r>
      <w:bookmarkEnd w:id="65"/>
      <w:bookmarkEnd w:id="66"/>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shd w:val="clear" w:color="auto" w:fill="FFFFFF"/>
        </w:rPr>
      </w:pPr>
      <w:r>
        <w:rPr>
          <w:rFonts w:hint="eastAsia" w:asciiTheme="minorEastAsia" w:hAnsiTheme="minorEastAsia" w:eastAsiaTheme="minorEastAsia" w:cstheme="minorEastAsia"/>
          <w:b/>
          <w:sz w:val="21"/>
          <w:szCs w:val="21"/>
          <w:shd w:val="clear" w:color="auto" w:fill="FFFFFF"/>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情况1：前期分录错误通常是科目错误，并且不涉及未认证进项税和进项税额的，那么在后期进行调账时，针对非增值税科目进行调整即可，调整方法可以红冲，也可以蓝字补充</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情况2：如果取得对方红字发票，则按红字发票上的税率处理。</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67" w:name="_Toc15"/>
      <w:bookmarkStart w:id="68" w:name="_Toc22654"/>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sz w:val="21"/>
          <w:szCs w:val="21"/>
        </w:rPr>
        <w:t>管理处/项目处当期先开发票，未确认收入怎么处理？</w:t>
      </w:r>
      <w:bookmarkEnd w:id="67"/>
      <w:bookmarkEnd w:id="68"/>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shd w:val="clear" w:color="auto" w:fill="FFFFFF"/>
        </w:rPr>
      </w:pPr>
      <w:r>
        <w:rPr>
          <w:rFonts w:hint="eastAsia" w:asciiTheme="minorEastAsia" w:hAnsiTheme="minorEastAsia" w:eastAsiaTheme="minorEastAsia" w:cstheme="minorEastAsia"/>
          <w:b/>
          <w:sz w:val="21"/>
          <w:szCs w:val="21"/>
          <w:shd w:val="clear" w:color="auto" w:fill="FFFFFF"/>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A、管理处/项目处开票时不做账务处理；</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B、机关账套根据当期入账已确认收入的销项税额（包括未开票收入的销项税额+部份已开票的销项税额），和开票系统中已开票金额的销项税进行比较，如果前者大于后者，则按前者进行申报（差额通过未开票收入的销项税进行调节）；如果前者小于后者，则差额作为多交增值税，按《HSGZ-03201增值税科目核算规则V20200630》中的规则进行处理。</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69" w:name="_Toc17100"/>
      <w:bookmarkStart w:id="70" w:name="_Toc25399"/>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4 </w:t>
      </w:r>
      <w:r>
        <w:rPr>
          <w:rFonts w:hint="eastAsia" w:asciiTheme="minorEastAsia" w:hAnsiTheme="minorEastAsia" w:eastAsiaTheme="minorEastAsia" w:cstheme="minorEastAsia"/>
          <w:sz w:val="21"/>
          <w:szCs w:val="21"/>
        </w:rPr>
        <w:t>取得的特价机票（票价830+民航发票基金150+燃油附加费50 &gt; 合计230，例如）该如何抵税？</w:t>
      </w:r>
      <w:bookmarkEnd w:id="69"/>
      <w:bookmarkEnd w:id="70"/>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用合计数（小金额的）作为抵税的基数，即230/1.09*0.09=18.99</w:t>
      </w:r>
    </w:p>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6300470" cy="2656205"/>
            <wp:effectExtent l="0" t="0" r="5080" b="10795"/>
            <wp:docPr id="2" name="图片 1" descr="\\172.16.0.68\总账组共享文件\1-体系文件\问题回答手册\问题收集原文件\8月\折价机票价税分离-机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72.16.0.68\总账组共享文件\1-体系文件\问题回答手册\问题收集原文件\8月\折价机票价税分离-机票.jpg"/>
                    <pic:cNvPicPr>
                      <a:picLocks noChangeAspect="1" noChangeArrowheads="1"/>
                    </pic:cNvPicPr>
                  </pic:nvPicPr>
                  <pic:blipFill>
                    <a:blip r:embed="rId11"/>
                    <a:srcRect/>
                    <a:stretch>
                      <a:fillRect/>
                    </a:stretch>
                  </pic:blipFill>
                  <pic:spPr>
                    <a:xfrm>
                      <a:off x="0" y="0"/>
                      <a:ext cx="6300470" cy="2656226"/>
                    </a:xfrm>
                    <a:prstGeom prst="rect">
                      <a:avLst/>
                    </a:prstGeom>
                    <a:noFill/>
                    <a:ln w="9525">
                      <a:noFill/>
                      <a:miter lim="800000"/>
                      <a:headEnd/>
                      <a:tailEnd/>
                    </a:ln>
                  </pic:spPr>
                </pic:pic>
              </a:graphicData>
            </a:graphic>
          </wp:inline>
        </w:drawing>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71" w:name="_Toc21917"/>
      <w:bookmarkStart w:id="72" w:name="_Toc25099"/>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5 </w:t>
      </w:r>
      <w:r>
        <w:rPr>
          <w:rFonts w:hint="eastAsia" w:asciiTheme="minorEastAsia" w:hAnsiTheme="minorEastAsia" w:eastAsiaTheme="minorEastAsia" w:cstheme="minorEastAsia"/>
          <w:sz w:val="21"/>
          <w:szCs w:val="21"/>
        </w:rPr>
        <w:t>发票上注明是差额征税，但是税额和金额计算刚好是3%，在做账的时候该选择待认证进项税-3%还是待认证进项税-其他？</w:t>
      </w:r>
      <w:bookmarkEnd w:id="71"/>
      <w:bookmarkEnd w:id="72"/>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答：待认证进项税-其他</w:t>
      </w:r>
    </w:p>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drawing>
          <wp:inline distT="0" distB="0" distL="0" distR="0">
            <wp:extent cx="5274310" cy="3004820"/>
            <wp:effectExtent l="0" t="0" r="2540" b="5080"/>
            <wp:docPr id="4" name="图片 1" descr="C:\Users\lenovo\Desktop\微信图片_20190820104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lenovo\Desktop\微信图片_20190820104446.png"/>
                    <pic:cNvPicPr>
                      <a:picLocks noChangeAspect="1" noChangeArrowheads="1"/>
                    </pic:cNvPicPr>
                  </pic:nvPicPr>
                  <pic:blipFill>
                    <a:blip r:embed="rId12"/>
                    <a:srcRect/>
                    <a:stretch>
                      <a:fillRect/>
                    </a:stretch>
                  </pic:blipFill>
                  <pic:spPr>
                    <a:xfrm>
                      <a:off x="0" y="0"/>
                      <a:ext cx="5274310" cy="3004855"/>
                    </a:xfrm>
                    <a:prstGeom prst="rect">
                      <a:avLst/>
                    </a:prstGeom>
                    <a:noFill/>
                    <a:ln w="9525">
                      <a:noFill/>
                      <a:miter lim="800000"/>
                      <a:headEnd/>
                      <a:tailEnd/>
                    </a:ln>
                  </pic:spPr>
                </pic:pic>
              </a:graphicData>
            </a:graphic>
          </wp:inline>
        </w:drawing>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73" w:name="_Toc24578"/>
      <w:bookmarkStart w:id="74" w:name="_Toc10181"/>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6 </w:t>
      </w:r>
      <w:r>
        <w:rPr>
          <w:rFonts w:hint="eastAsia" w:asciiTheme="minorEastAsia" w:hAnsiTheme="minorEastAsia" w:eastAsiaTheme="minorEastAsia" w:cstheme="minorEastAsia"/>
          <w:sz w:val="21"/>
          <w:szCs w:val="21"/>
        </w:rPr>
        <w:t>小规模纳税人收到税务局退回的附加税，如何做账务处理？</w:t>
      </w:r>
      <w:bookmarkEnd w:id="73"/>
      <w:bookmarkEnd w:id="74"/>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答：冲减税金及附加  即：借：银行存款  借：税金及附加 （负数）</w:t>
      </w:r>
    </w:p>
    <w:p>
      <w:pPr>
        <w:pStyle w:val="2"/>
        <w:pageBreakBefore w:val="0"/>
        <w:kinsoku/>
        <w:wordWrap/>
        <w:overflowPunct/>
        <w:topLinePunct w:val="0"/>
        <w:autoSpaceDE/>
        <w:autoSpaceDN/>
        <w:bidi w:val="0"/>
        <w:adjustRightInd w:val="0"/>
        <w:snapToGrid w:val="0"/>
        <w:spacing w:before="0" w:after="0" w:line="360" w:lineRule="auto"/>
        <w:textAlignment w:val="auto"/>
        <w:rPr>
          <w:rFonts w:hint="default" w:asciiTheme="minorEastAsia" w:hAnsiTheme="minorEastAsia" w:eastAsiaTheme="minorEastAsia" w:cstheme="minorEastAsia"/>
          <w:sz w:val="21"/>
          <w:szCs w:val="21"/>
          <w:lang w:val="en-US" w:eastAsia="zh-CN"/>
        </w:rPr>
      </w:pPr>
      <w:bookmarkStart w:id="75" w:name="_Toc13570"/>
      <w:bookmarkStart w:id="76" w:name="_Toc29286"/>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7 </w:t>
      </w:r>
      <w:r>
        <w:rPr>
          <w:rFonts w:hint="eastAsia" w:asciiTheme="minorEastAsia" w:hAnsiTheme="minorEastAsia" w:eastAsiaTheme="minorEastAsia" w:cstheme="minorEastAsia"/>
          <w:sz w:val="21"/>
          <w:szCs w:val="21"/>
        </w:rPr>
        <w:t>关于取得红字专用发票税金的账务处理</w:t>
      </w:r>
      <w:bookmarkEnd w:id="75"/>
      <w:bookmarkEnd w:id="76"/>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cstheme="minorEastAsia"/>
          <w:kern w:val="0"/>
          <w:sz w:val="21"/>
          <w:szCs w:val="21"/>
          <w:lang w:val="en-US" w:eastAsia="zh-CN"/>
        </w:rPr>
        <w:t>根据国家税务总局公告2020年第22号《国家税务总局关于在新办纳税人中实行增值税专用发票电子化有关事项的公告》，对我司取得的红字发票</w:t>
      </w:r>
      <w:r>
        <w:rPr>
          <w:rFonts w:hint="eastAsia" w:asciiTheme="minorEastAsia" w:hAnsiTheme="minorEastAsia" w:eastAsiaTheme="minorEastAsia" w:cstheme="minorEastAsia"/>
          <w:kern w:val="0"/>
          <w:sz w:val="21"/>
          <w:szCs w:val="21"/>
        </w:rPr>
        <w:t>分场景</w:t>
      </w:r>
      <w:r>
        <w:rPr>
          <w:rFonts w:hint="eastAsia" w:asciiTheme="minorEastAsia" w:hAnsiTheme="minorEastAsia" w:cstheme="minorEastAsia"/>
          <w:kern w:val="0"/>
          <w:sz w:val="21"/>
          <w:szCs w:val="21"/>
          <w:lang w:val="en-US" w:eastAsia="zh-CN"/>
        </w:rPr>
        <w:t>进行</w:t>
      </w:r>
      <w:r>
        <w:rPr>
          <w:rFonts w:hint="eastAsia" w:asciiTheme="minorEastAsia" w:hAnsiTheme="minorEastAsia" w:eastAsiaTheme="minorEastAsia" w:cstheme="minorEastAsia"/>
          <w:kern w:val="0"/>
          <w:sz w:val="21"/>
          <w:szCs w:val="21"/>
        </w:rPr>
        <w:t>账务处理</w:t>
      </w:r>
      <w:r>
        <w:rPr>
          <w:rFonts w:hint="eastAsia" w:asciiTheme="minorEastAsia" w:hAnsi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见下表</w:t>
      </w:r>
    </w:p>
    <w:tbl>
      <w:tblPr>
        <w:tblStyle w:val="11"/>
        <w:tblW w:w="10140" w:type="dxa"/>
        <w:tblInd w:w="93" w:type="dxa"/>
        <w:tblLayout w:type="fixed"/>
        <w:tblCellMar>
          <w:top w:w="0" w:type="dxa"/>
          <w:left w:w="108" w:type="dxa"/>
          <w:bottom w:w="0" w:type="dxa"/>
          <w:right w:w="108" w:type="dxa"/>
        </w:tblCellMar>
      </w:tblPr>
      <w:tblGrid>
        <w:gridCol w:w="2355"/>
        <w:gridCol w:w="1065"/>
        <w:gridCol w:w="3360"/>
        <w:gridCol w:w="3360"/>
      </w:tblGrid>
      <w:tr>
        <w:tblPrEx>
          <w:tblCellMar>
            <w:top w:w="0" w:type="dxa"/>
            <w:left w:w="108" w:type="dxa"/>
            <w:bottom w:w="0" w:type="dxa"/>
            <w:right w:w="108" w:type="dxa"/>
          </w:tblCellMar>
        </w:tblPrEx>
        <w:trPr>
          <w:trHeight w:val="270" w:hRule="atLeast"/>
        </w:trPr>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发票场景</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是否认证</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账务处理</w:t>
            </w:r>
          </w:p>
        </w:tc>
        <w:tc>
          <w:tcPr>
            <w:tcW w:w="33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备注</w:t>
            </w:r>
          </w:p>
        </w:tc>
      </w:tr>
      <w:tr>
        <w:tblPrEx>
          <w:tblCellMar>
            <w:top w:w="0" w:type="dxa"/>
            <w:left w:w="108" w:type="dxa"/>
            <w:bottom w:w="0" w:type="dxa"/>
            <w:right w:w="108" w:type="dxa"/>
          </w:tblCellMar>
        </w:tblPrEx>
        <w:trPr>
          <w:trHeight w:val="540" w:hRule="atLeast"/>
        </w:trPr>
        <w:tc>
          <w:tcPr>
            <w:tcW w:w="2355"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原发票（正数发票）当月未入账</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否</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直接退回原发票，原发票业务不入账</w:t>
            </w:r>
          </w:p>
        </w:tc>
        <w:tc>
          <w:tcPr>
            <w:tcW w:w="33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p>
        </w:tc>
      </w:tr>
      <w:tr>
        <w:tblPrEx>
          <w:tblCellMar>
            <w:top w:w="0" w:type="dxa"/>
            <w:left w:w="108" w:type="dxa"/>
            <w:bottom w:w="0" w:type="dxa"/>
            <w:right w:w="108" w:type="dxa"/>
          </w:tblCellMar>
        </w:tblPrEx>
        <w:trPr>
          <w:trHeight w:val="810" w:hRule="atLeast"/>
        </w:trPr>
        <w:tc>
          <w:tcPr>
            <w:tcW w:w="23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原发票（正数发票）当月已入账（含以前月），不能退回</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否</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我司</w:t>
            </w:r>
            <w:r>
              <w:rPr>
                <w:rFonts w:hint="eastAsia" w:asciiTheme="minorEastAsia" w:hAnsiTheme="minorEastAsia" w:cstheme="minorEastAsia"/>
                <w:color w:val="000000"/>
                <w:kern w:val="0"/>
                <w:sz w:val="21"/>
                <w:szCs w:val="21"/>
                <w:lang w:val="en-US" w:eastAsia="zh-CN"/>
              </w:rPr>
              <w:t>取得对方红字发票后</w:t>
            </w:r>
            <w:r>
              <w:rPr>
                <w:rFonts w:hint="eastAsia" w:asciiTheme="minorEastAsia" w:hAnsiTheme="minorEastAsia" w:eastAsiaTheme="minorEastAsia" w:cstheme="minorEastAsia"/>
                <w:color w:val="000000"/>
                <w:kern w:val="0"/>
                <w:sz w:val="21"/>
                <w:szCs w:val="21"/>
              </w:rPr>
              <w:t>，在业务账套对原分录做红字冲销，税金科目为“待认证进项税额”</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cstheme="minorEastAsia"/>
                <w:color w:val="000000"/>
                <w:kern w:val="0"/>
                <w:sz w:val="21"/>
                <w:szCs w:val="21"/>
                <w:lang w:val="en-US" w:eastAsia="zh-CN"/>
              </w:rPr>
              <w:t>销售公司开出</w:t>
            </w:r>
            <w:r>
              <w:rPr>
                <w:rFonts w:hint="eastAsia" w:asciiTheme="minorEastAsia" w:hAnsiTheme="minorEastAsia" w:eastAsiaTheme="minorEastAsia" w:cstheme="minorEastAsia"/>
                <w:color w:val="000000"/>
                <w:kern w:val="0"/>
                <w:sz w:val="21"/>
                <w:szCs w:val="21"/>
              </w:rPr>
              <w:t>《开具红字增值税专用发票信息表》</w:t>
            </w:r>
            <w:r>
              <w:rPr>
                <w:rFonts w:hint="eastAsia" w:asciiTheme="minorEastAsia" w:hAnsiTheme="minorEastAsia" w:cstheme="minorEastAsia"/>
                <w:color w:val="000000"/>
                <w:kern w:val="0"/>
                <w:sz w:val="21"/>
                <w:szCs w:val="21"/>
                <w:lang w:val="en-US" w:eastAsia="zh-CN"/>
              </w:rPr>
              <w:t>并经税务系统网上较验后，购货方无法认证原发票</w:t>
            </w:r>
          </w:p>
        </w:tc>
      </w:tr>
      <w:tr>
        <w:tblPrEx>
          <w:tblCellMar>
            <w:top w:w="0" w:type="dxa"/>
            <w:left w:w="108" w:type="dxa"/>
            <w:bottom w:w="0" w:type="dxa"/>
            <w:right w:w="108" w:type="dxa"/>
          </w:tblCellMar>
        </w:tblPrEx>
        <w:trPr>
          <w:trHeight w:val="1350" w:hRule="atLeast"/>
        </w:trPr>
        <w:tc>
          <w:tcPr>
            <w:tcW w:w="2355" w:type="dxa"/>
            <w:vMerge w:val="continue"/>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widowControl/>
              <w:kinsoku/>
              <w:wordWrap/>
              <w:overflowPunct/>
              <w:topLinePunct w:val="0"/>
              <w:autoSpaceDE/>
              <w:autoSpaceDN/>
              <w:bidi w:val="0"/>
              <w:spacing w:line="360" w:lineRule="auto"/>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是</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我司</w:t>
            </w:r>
            <w:r>
              <w:rPr>
                <w:rFonts w:hint="eastAsia" w:asciiTheme="minorEastAsia" w:hAnsiTheme="minorEastAsia" w:cstheme="minorEastAsia"/>
                <w:color w:val="000000"/>
                <w:kern w:val="0"/>
                <w:sz w:val="21"/>
                <w:szCs w:val="21"/>
                <w:lang w:val="en-US" w:eastAsia="zh-CN"/>
              </w:rPr>
              <w:t>填开</w:t>
            </w:r>
            <w:r>
              <w:rPr>
                <w:rFonts w:hint="eastAsia" w:asciiTheme="minorEastAsia" w:hAnsiTheme="minorEastAsia" w:eastAsiaTheme="minorEastAsia" w:cstheme="minorEastAsia"/>
                <w:color w:val="000000"/>
                <w:kern w:val="0"/>
                <w:sz w:val="21"/>
                <w:szCs w:val="21"/>
              </w:rPr>
              <w:t>《开具红字增值税专用发票信息表》当月，在业务账套对原分录做红字冲销，其中税金科目为“2221.19.01.01.05进项税额转出”贷方（不能红字）</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bottom"/>
          </w:tcPr>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凭《开具红字增值税专用发票信息表》入账，待收到对方红字发票后一并作为凭证附件</w:t>
            </w:r>
          </w:p>
        </w:tc>
      </w:tr>
    </w:tbl>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77" w:name="_Toc19547"/>
      <w:bookmarkStart w:id="78" w:name="_Toc22472"/>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8 </w:t>
      </w:r>
      <w:r>
        <w:rPr>
          <w:rFonts w:hint="eastAsia" w:asciiTheme="minorEastAsia" w:hAnsiTheme="minorEastAsia" w:eastAsiaTheme="minorEastAsia" w:cstheme="minorEastAsia"/>
          <w:sz w:val="21"/>
          <w:szCs w:val="21"/>
        </w:rPr>
        <w:t>发现以前期已做价税分离的业务是属于不能抵扣的情况（如用于员工福利、工会经费、个人消费，以及其他税法规定不能抵扣的情况）如何做账务处理？</w:t>
      </w:r>
      <w:bookmarkEnd w:id="77"/>
      <w:bookmarkEnd w:id="78"/>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对于前期可抵扣发票（专票及有效客票）并已做价税分离的，先向报税人员反馈，并统一由报税人员提供进项税转出明细后再做</w:t>
      </w:r>
      <w:r>
        <w:rPr>
          <w:rFonts w:hint="eastAsia" w:asciiTheme="minorEastAsia" w:hAnsiTheme="minorEastAsia" w:eastAsiaTheme="minorEastAsia" w:cstheme="minorEastAsia"/>
          <w:kern w:val="0"/>
          <w:sz w:val="21"/>
          <w:szCs w:val="21"/>
          <w:lang w:eastAsia="zh-CN"/>
        </w:rPr>
        <w:t>涉及税务科目的</w:t>
      </w:r>
      <w:r>
        <w:rPr>
          <w:rFonts w:hint="eastAsia" w:asciiTheme="minorEastAsia" w:hAnsiTheme="minorEastAsia" w:eastAsiaTheme="minorEastAsia" w:cstheme="minorEastAsia"/>
          <w:kern w:val="0"/>
          <w:sz w:val="21"/>
          <w:szCs w:val="21"/>
        </w:rPr>
        <w:t>账务处理。</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集团税务组对取得专票的进项税有统一处理规定，即：</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A凡是取得增值税专票，统一做价税分离，入账；</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B统一当月认证抵扣；</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C凡属于不能抵扣的情况，除当期可直接调整外，统一由报税人员做统计，提供进项税转出数据，再由核算人员</w:t>
      </w:r>
      <w:r>
        <w:rPr>
          <w:rFonts w:hint="eastAsia" w:asciiTheme="minorEastAsia" w:hAnsiTheme="minorEastAsia" w:eastAsiaTheme="minorEastAsia" w:cstheme="minorEastAsia"/>
          <w:kern w:val="0"/>
          <w:sz w:val="21"/>
          <w:szCs w:val="21"/>
          <w:lang w:eastAsia="zh-CN"/>
        </w:rPr>
        <w:t>根据报税人员提供的转出资料</w:t>
      </w:r>
      <w:r>
        <w:rPr>
          <w:rFonts w:hint="eastAsia" w:asciiTheme="minorEastAsia" w:hAnsiTheme="minorEastAsia" w:eastAsiaTheme="minorEastAsia" w:cstheme="minorEastAsia"/>
          <w:kern w:val="0"/>
          <w:sz w:val="21"/>
          <w:szCs w:val="21"/>
        </w:rPr>
        <w:t>做进项税转出账务处理。</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（税务处理方法如有调整，以税务组正式通知为准）</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按上述处理规定，对查出属于前期进项税转出事项的，财务人员处理步骤如下：</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A首先将转出事项信息（账套号、记录期间、凭证号、进项科目、金额）与报税人员沟通</w:t>
      </w:r>
      <w:r>
        <w:rPr>
          <w:rFonts w:hint="eastAsia" w:asciiTheme="minorEastAsia" w:hAnsiTheme="minorEastAsia" w:eastAsiaTheme="minorEastAsia" w:cstheme="minorEastAsia"/>
          <w:kern w:val="0"/>
          <w:sz w:val="21"/>
          <w:szCs w:val="21"/>
          <w:lang w:eastAsia="zh-CN"/>
        </w:rPr>
        <w:t>；</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B账务处理人员</w:t>
      </w:r>
      <w:r>
        <w:rPr>
          <w:rFonts w:hint="eastAsia" w:asciiTheme="minorEastAsia" w:hAnsiTheme="minorEastAsia" w:eastAsiaTheme="minorEastAsia" w:cstheme="minorEastAsia"/>
          <w:kern w:val="0"/>
          <w:sz w:val="21"/>
          <w:szCs w:val="21"/>
          <w:lang w:eastAsia="zh-CN"/>
        </w:rPr>
        <w:t>取得报税人员进项税转出料后再做调整，如果因特殊情况须先行调整的，</w:t>
      </w:r>
      <w:r>
        <w:rPr>
          <w:rFonts w:hint="eastAsia" w:asciiTheme="minorEastAsia" w:hAnsiTheme="minorEastAsia" w:eastAsiaTheme="minorEastAsia" w:cstheme="minorEastAsia"/>
          <w:kern w:val="0"/>
          <w:sz w:val="21"/>
          <w:szCs w:val="21"/>
        </w:rPr>
        <w:t>可对非涉税科目（不含税成本金额）进行账务调整</w:t>
      </w:r>
      <w:r>
        <w:rPr>
          <w:rFonts w:hint="eastAsia" w:asciiTheme="minorEastAsia" w:hAnsiTheme="minorEastAsia" w:eastAsiaTheme="minorEastAsia" w:cstheme="minorEastAsia"/>
          <w:kern w:val="0"/>
          <w:sz w:val="21"/>
          <w:szCs w:val="21"/>
          <w:lang w:eastAsia="zh-CN"/>
        </w:rPr>
        <w:t>，该调账的对方科目（即进项税转出科目）先挂在某一过渡科目，等取得报税人员进项税转出资料后再做过渡科目的冲销</w:t>
      </w:r>
      <w:r>
        <w:rPr>
          <w:rFonts w:hint="eastAsia" w:asciiTheme="minorEastAsia" w:hAnsiTheme="minorEastAsia" w:eastAsiaTheme="minorEastAsia" w:cstheme="minorEastAsia"/>
          <w:kern w:val="0"/>
          <w:sz w:val="21"/>
          <w:szCs w:val="21"/>
        </w:rPr>
        <w:t>；</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于已价税分离的客票，因不存在认证的情况，因此须先与报税人员确认是否已抵扣，如已抵扣，则按上述方式处理；如未抵扣，可与报税人员沟通，是直接冲销还是先抵扣再转出。如果回复直接冲销的，则在冲销后需将该冲销信息（账套号、记录期间、凭证号、进项科目、金额、实际冲销月份）提供给报税人员。</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增值税业务提示：</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A</w:t>
      </w:r>
      <w:r>
        <w:rPr>
          <w:rFonts w:hint="eastAsia" w:asciiTheme="minorEastAsia" w:hAnsiTheme="minorEastAsia" w:eastAsiaTheme="minorEastAsia" w:cstheme="minorEastAsia"/>
          <w:kern w:val="0"/>
          <w:sz w:val="21"/>
          <w:szCs w:val="21"/>
          <w:lang w:val="en-US" w:eastAsia="zh-CN"/>
        </w:rPr>
        <w:t xml:space="preserve"> </w:t>
      </w:r>
      <w:r>
        <w:rPr>
          <w:rFonts w:hint="eastAsia" w:asciiTheme="minorEastAsia" w:hAnsiTheme="minorEastAsia" w:eastAsiaTheme="minorEastAsia" w:cstheme="minorEastAsia"/>
          <w:kern w:val="0"/>
          <w:sz w:val="21"/>
          <w:szCs w:val="21"/>
        </w:rPr>
        <w:t>已认证抵扣的进项税，在申报</w:t>
      </w:r>
      <w:r>
        <w:rPr>
          <w:rFonts w:hint="eastAsia" w:asciiTheme="minorEastAsia" w:hAnsiTheme="minorEastAsia" w:eastAsiaTheme="minorEastAsia" w:cstheme="minorEastAsia"/>
          <w:kern w:val="0"/>
          <w:sz w:val="21"/>
          <w:szCs w:val="21"/>
          <w:lang w:eastAsia="zh-CN"/>
        </w:rPr>
        <w:t>的</w:t>
      </w:r>
      <w:r>
        <w:rPr>
          <w:rFonts w:hint="eastAsia" w:asciiTheme="minorEastAsia" w:hAnsiTheme="minorEastAsia" w:eastAsiaTheme="minorEastAsia" w:cstheme="minorEastAsia"/>
          <w:kern w:val="0"/>
          <w:sz w:val="21"/>
          <w:szCs w:val="21"/>
        </w:rPr>
        <w:t>认证、抵扣都有具体发票信息（发票号、开票日期、金额等）支持，以后期间如发现有错误不能直接通过账务进行调整（类似于三期受控的应付账款科目），必须先通过报税操作处理后，再作账务处理。</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B</w:t>
      </w:r>
      <w:r>
        <w:rPr>
          <w:rFonts w:hint="eastAsia" w:asciiTheme="minorEastAsia" w:hAnsiTheme="minorEastAsia" w:eastAsiaTheme="minorEastAsia" w:cstheme="minorEastAsia"/>
          <w:kern w:val="0"/>
          <w:sz w:val="21"/>
          <w:szCs w:val="21"/>
          <w:lang w:val="en-US" w:eastAsia="zh-CN"/>
        </w:rPr>
        <w:t xml:space="preserve"> </w:t>
      </w:r>
      <w:r>
        <w:rPr>
          <w:rFonts w:hint="eastAsia" w:asciiTheme="minorEastAsia" w:hAnsiTheme="minorEastAsia" w:eastAsiaTheme="minorEastAsia" w:cstheme="minorEastAsia"/>
          <w:kern w:val="0"/>
          <w:sz w:val="21"/>
          <w:szCs w:val="21"/>
        </w:rPr>
        <w:t>而已认证的进项</w:t>
      </w:r>
      <w:r>
        <w:rPr>
          <w:rFonts w:hint="eastAsia" w:asciiTheme="minorEastAsia" w:hAnsiTheme="minorEastAsia" w:eastAsiaTheme="minorEastAsia" w:cstheme="minorEastAsia"/>
          <w:kern w:val="0"/>
          <w:sz w:val="21"/>
          <w:szCs w:val="21"/>
          <w:lang w:eastAsia="zh-CN"/>
        </w:rPr>
        <w:t>税属于不符合认证条件需要</w:t>
      </w:r>
      <w:r>
        <w:rPr>
          <w:rFonts w:hint="eastAsia" w:asciiTheme="minorEastAsia" w:hAnsiTheme="minorEastAsia" w:eastAsiaTheme="minorEastAsia" w:cstheme="minorEastAsia"/>
          <w:kern w:val="0"/>
          <w:sz w:val="21"/>
          <w:szCs w:val="21"/>
        </w:rPr>
        <w:t>冲销的</w:t>
      </w:r>
      <w:r>
        <w:rPr>
          <w:rFonts w:hint="eastAsia" w:asciiTheme="minorEastAsia" w:hAnsiTheme="minorEastAsia" w:eastAsiaTheme="minorEastAsia" w:cstheme="minorEastAsia"/>
          <w:kern w:val="0"/>
          <w:sz w:val="21"/>
          <w:szCs w:val="21"/>
          <w:lang w:eastAsia="zh-CN"/>
        </w:rPr>
        <w:t>，需通过</w:t>
      </w:r>
      <w:r>
        <w:rPr>
          <w:rFonts w:hint="eastAsia" w:asciiTheme="minorEastAsia" w:hAnsiTheme="minorEastAsia" w:eastAsiaTheme="minorEastAsia" w:cstheme="minorEastAsia"/>
          <w:kern w:val="0"/>
          <w:sz w:val="21"/>
          <w:szCs w:val="21"/>
        </w:rPr>
        <w:t>报税</w:t>
      </w:r>
      <w:r>
        <w:rPr>
          <w:rFonts w:hint="eastAsia" w:asciiTheme="minorEastAsia" w:hAnsiTheme="minorEastAsia" w:eastAsiaTheme="minorEastAsia" w:cstheme="minorEastAsia"/>
          <w:kern w:val="0"/>
          <w:sz w:val="21"/>
          <w:szCs w:val="21"/>
          <w:lang w:eastAsia="zh-CN"/>
        </w:rPr>
        <w:t>作</w:t>
      </w:r>
      <w:r>
        <w:rPr>
          <w:rFonts w:hint="eastAsia" w:asciiTheme="minorEastAsia" w:hAnsiTheme="minorEastAsia" w:eastAsiaTheme="minorEastAsia" w:cstheme="minorEastAsia"/>
          <w:kern w:val="0"/>
          <w:sz w:val="21"/>
          <w:szCs w:val="21"/>
        </w:rPr>
        <w:t>进项税转出处理</w:t>
      </w:r>
      <w:r>
        <w:rPr>
          <w:rFonts w:hint="eastAsia" w:asciiTheme="minorEastAsia" w:hAnsiTheme="minorEastAsia" w:eastAsiaTheme="minorEastAsia" w:cstheme="minorEastAsia"/>
          <w:kern w:val="0"/>
          <w:sz w:val="21"/>
          <w:szCs w:val="21"/>
          <w:lang w:eastAsia="zh-CN"/>
        </w:rPr>
        <w:t>；</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0"/>
          <w:sz w:val="21"/>
          <w:szCs w:val="21"/>
        </w:rPr>
        <w:t>C</w:t>
      </w:r>
      <w:r>
        <w:rPr>
          <w:rFonts w:hint="eastAsia" w:asciiTheme="minorEastAsia" w:hAnsiTheme="minorEastAsia" w:eastAsiaTheme="minorEastAsia" w:cstheme="minorEastAsia"/>
          <w:kern w:val="0"/>
          <w:sz w:val="21"/>
          <w:szCs w:val="21"/>
          <w:lang w:val="en-US" w:eastAsia="zh-CN"/>
        </w:rPr>
        <w:t xml:space="preserve"> </w:t>
      </w:r>
      <w:r>
        <w:rPr>
          <w:rFonts w:hint="eastAsia" w:asciiTheme="minorEastAsia" w:hAnsiTheme="minorEastAsia" w:eastAsiaTheme="minorEastAsia" w:cstheme="minorEastAsia"/>
          <w:kern w:val="0"/>
          <w:sz w:val="21"/>
          <w:szCs w:val="21"/>
        </w:rPr>
        <w:t>取得的红字专用发票是正常业务流程，不属于进项税转出</w:t>
      </w:r>
      <w:r>
        <w:rPr>
          <w:rFonts w:hint="eastAsia" w:asciiTheme="minorEastAsia" w:hAnsiTheme="minorEastAsia" w:eastAsiaTheme="minorEastAsia" w:cstheme="minorEastAsia"/>
          <w:kern w:val="0"/>
          <w:sz w:val="21"/>
          <w:szCs w:val="21"/>
          <w:lang w:eastAsia="zh-CN"/>
        </w:rPr>
        <w:t>。</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79" w:name="_Toc6270"/>
      <w:bookmarkStart w:id="80" w:name="_Toc19906"/>
      <w:r>
        <w:rPr>
          <w:rFonts w:hint="eastAsia" w:asciiTheme="minorEastAsia" w:hAnsiTheme="minorEastAsia" w:eastAsiaTheme="minorEastAsia" w:cstheme="minorEastAsia"/>
          <w:sz w:val="21"/>
          <w:szCs w:val="21"/>
          <w:lang w:val="en-US" w:eastAsia="zh-CN"/>
        </w:rPr>
        <w:t>3.</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9 </w:t>
      </w:r>
      <w:r>
        <w:rPr>
          <w:rFonts w:hint="eastAsia" w:asciiTheme="minorEastAsia" w:hAnsiTheme="minorEastAsia" w:eastAsiaTheme="minorEastAsia" w:cstheme="minorEastAsia"/>
          <w:sz w:val="21"/>
          <w:szCs w:val="21"/>
        </w:rPr>
        <w:t>火车票补单有身份证信息，但票价含手续费，手续费需要价税分离吗？还是扣除后再做分离？</w:t>
      </w:r>
      <w:bookmarkEnd w:id="79"/>
      <w:bookmarkEnd w:id="80"/>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不需要扣除手续费，以实际支付的票价金额做价税分离。</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w:t>
      </w:r>
      <w:r>
        <w:rPr>
          <w:rFonts w:hint="eastAsia" w:asciiTheme="minorEastAsia" w:hAnsiTheme="minorEastAsia" w:eastAsiaTheme="minorEastAsia" w:cstheme="minorEastAsia"/>
          <w:color w:val="333333"/>
          <w:sz w:val="21"/>
          <w:szCs w:val="21"/>
          <w:shd w:val="clear" w:color="auto" w:fill="FFFFFF"/>
        </w:rPr>
        <w:t>财政部税务总局海关总署公告2019年第39号</w:t>
      </w:r>
      <w:r>
        <w:rPr>
          <w:rStyle w:val="23"/>
          <w:rFonts w:hint="eastAsia" w:asciiTheme="minorEastAsia" w:hAnsiTheme="minorEastAsia" w:eastAsiaTheme="minorEastAsia" w:cstheme="minorEastAsia"/>
          <w:color w:val="333333"/>
          <w:sz w:val="21"/>
          <w:szCs w:val="21"/>
          <w:shd w:val="clear" w:color="auto" w:fill="FFFFFF"/>
        </w:rPr>
        <w:t> </w:t>
      </w:r>
      <w:r>
        <w:rPr>
          <w:rFonts w:hint="eastAsia" w:asciiTheme="minorEastAsia" w:hAnsiTheme="minorEastAsia" w:eastAsiaTheme="minorEastAsia" w:cstheme="minorEastAsia"/>
          <w:sz w:val="21"/>
          <w:szCs w:val="21"/>
        </w:rPr>
        <w:t>中的规定</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取得注明旅客身份信息的铁路车票的，为按照下列公式计算的进项税额：</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铁路旅客运输进项税额=票面金额÷（1+9%）×9%</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取得注明旅客身份信息的公路、水路等其他客票的，按照下列公式计算进项税额：</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公路、水路等其他旅客运输进项税额=票面金额÷（1+3%）×3%</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如本例，以票面金额26.5元做价税分离</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3962400" cy="3228975"/>
            <wp:effectExtent l="0" t="0" r="0" b="9525"/>
            <wp:docPr id="1" name="图片 1" descr="C:\Users\lenovo\AppData\Local\Temp\157302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1573029360.jpg"/>
                    <pic:cNvPicPr>
                      <a:picLocks noChangeAspect="1" noChangeArrowheads="1"/>
                    </pic:cNvPicPr>
                  </pic:nvPicPr>
                  <pic:blipFill>
                    <a:blip r:embed="rId13"/>
                    <a:srcRect/>
                    <a:stretch>
                      <a:fillRect/>
                    </a:stretch>
                  </pic:blipFill>
                  <pic:spPr>
                    <a:xfrm>
                      <a:off x="0" y="0"/>
                      <a:ext cx="3962400" cy="3228975"/>
                    </a:xfrm>
                    <a:prstGeom prst="rect">
                      <a:avLst/>
                    </a:prstGeom>
                    <a:noFill/>
                    <a:ln w="9525">
                      <a:noFill/>
                      <a:miter lim="800000"/>
                      <a:headEnd/>
                      <a:tailEnd/>
                    </a:ln>
                  </pic:spPr>
                </pic:pic>
              </a:graphicData>
            </a:graphic>
          </wp:inline>
        </w:drawing>
      </w:r>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81" w:name="_Toc24731"/>
      <w:bookmarkStart w:id="82" w:name="_Toc22431"/>
      <w:r>
        <w:rPr>
          <w:rFonts w:hint="eastAsia" w:asciiTheme="minorEastAsia" w:hAnsiTheme="minorEastAsia" w:eastAsiaTheme="minorEastAsia" w:cstheme="minorEastAsia"/>
          <w:sz w:val="21"/>
          <w:szCs w:val="21"/>
          <w:lang w:val="en-US" w:eastAsia="zh-CN"/>
        </w:rPr>
        <w:t xml:space="preserve">3.10 </w:t>
      </w:r>
      <w:r>
        <w:rPr>
          <w:rFonts w:hint="eastAsia" w:asciiTheme="minorEastAsia" w:hAnsiTheme="minorEastAsia" w:eastAsiaTheme="minorEastAsia" w:cstheme="minorEastAsia"/>
          <w:sz w:val="21"/>
          <w:szCs w:val="21"/>
        </w:rPr>
        <w:t>关于机票价税分离的问题统一回复</w:t>
      </w:r>
      <w:bookmarkEnd w:id="81"/>
      <w:bookmarkEnd w:id="82"/>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航空运输电子客票行程单价税分离基数</w:t>
      </w:r>
    </w:p>
    <w:p>
      <w:pPr>
        <w:pStyle w:val="19"/>
        <w:pageBreakBefore w:val="0"/>
        <w:widowControl w:val="0"/>
        <w:numPr>
          <w:ilvl w:val="0"/>
          <w:numId w:val="6"/>
        </w:numPr>
        <w:kinsoku/>
        <w:wordWrap/>
        <w:overflowPunct/>
        <w:topLinePunct w:val="0"/>
        <w:autoSpaceDE/>
        <w:autoSpaceDN/>
        <w:bidi w:val="0"/>
        <w:spacing w:line="360" w:lineRule="auto"/>
        <w:ind w:firstLineChars="0"/>
        <w:textAlignment w:val="auto"/>
        <w:rPr>
          <w:rFonts w:hint="eastAsia" w:asciiTheme="minorEastAsia" w:hAnsiTheme="minorEastAsia" w:eastAsiaTheme="minorEastAsia" w:cstheme="minorEastAsia"/>
          <w:b/>
          <w:i/>
          <w:sz w:val="21"/>
          <w:szCs w:val="21"/>
          <w:u w:val="single"/>
        </w:rPr>
      </w:pPr>
      <w:r>
        <w:rPr>
          <w:rFonts w:hint="eastAsia" w:asciiTheme="minorEastAsia" w:hAnsiTheme="minorEastAsia" w:eastAsiaTheme="minorEastAsia" w:cstheme="minorEastAsia"/>
          <w:b/>
          <w:i/>
          <w:sz w:val="21"/>
          <w:szCs w:val="21"/>
          <w:highlight w:val="yellow"/>
          <w:u w:val="single"/>
        </w:rPr>
        <w:t>票价不为零时：价税分离基数=合计 - 民航发展基金</w:t>
      </w:r>
    </w:p>
    <w:p>
      <w:pPr>
        <w:pStyle w:val="19"/>
        <w:pageBreakBefore w:val="0"/>
        <w:widowControl w:val="0"/>
        <w:numPr>
          <w:ilvl w:val="0"/>
          <w:numId w:val="6"/>
        </w:numPr>
        <w:kinsoku/>
        <w:wordWrap/>
        <w:overflowPunct/>
        <w:topLinePunct w:val="0"/>
        <w:autoSpaceDE/>
        <w:autoSpaceDN/>
        <w:bidi w:val="0"/>
        <w:spacing w:line="360" w:lineRule="auto"/>
        <w:ind w:firstLineChars="0"/>
        <w:textAlignment w:val="auto"/>
        <w:rPr>
          <w:rFonts w:hint="eastAsia" w:asciiTheme="minorEastAsia" w:hAnsiTheme="minorEastAsia" w:eastAsiaTheme="minorEastAsia" w:cstheme="minorEastAsia"/>
          <w:b/>
          <w:i/>
          <w:sz w:val="21"/>
          <w:szCs w:val="21"/>
          <w:highlight w:val="yellow"/>
          <w:u w:val="single"/>
        </w:rPr>
      </w:pPr>
      <w:r>
        <w:rPr>
          <w:rFonts w:hint="eastAsia" w:asciiTheme="minorEastAsia" w:hAnsiTheme="minorEastAsia" w:eastAsiaTheme="minorEastAsia" w:cstheme="minorEastAsia"/>
          <w:b/>
          <w:i/>
          <w:sz w:val="21"/>
          <w:szCs w:val="21"/>
          <w:highlight w:val="yellow"/>
          <w:u w:val="single"/>
        </w:rPr>
        <w:t>票价为零时：价税分离基数=零，即不做价税分离  （这种情况通常是纯改签费或退票费）</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行程单收费组成见行程单红色底字栏</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i/>
          <w:color w:val="FF0000"/>
          <w:sz w:val="21"/>
          <w:szCs w:val="21"/>
          <w:u w:val="single"/>
        </w:rPr>
      </w:pPr>
      <w:r>
        <w:rPr>
          <w:rFonts w:hint="eastAsia" w:asciiTheme="minorEastAsia" w:hAnsiTheme="minorEastAsia" w:eastAsiaTheme="minorEastAsia" w:cstheme="minorEastAsia"/>
          <w:i/>
          <w:color w:val="FF0000"/>
          <w:sz w:val="21"/>
          <w:szCs w:val="21"/>
          <w:u w:val="single"/>
        </w:rPr>
        <w:t>注意：当有保险费的情况下，价税分离基数 &lt; 行程单报销金额 (报销金额=行程单合计+保险费)</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航空运输电子客票行程单相关知识</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A、根据《财政部税务总局海关总署关于深化增值税改革有关政策的公告》（财政部税务总局海关总署公告2019年第39号）公告中的规定：</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“六、纳税人购进</w:t>
      </w:r>
      <w:r>
        <w:rPr>
          <w:rFonts w:hint="eastAsia" w:asciiTheme="minorEastAsia" w:hAnsiTheme="minorEastAsia" w:eastAsiaTheme="minorEastAsia" w:cstheme="minorEastAsia"/>
          <w:b/>
          <w:i/>
          <w:color w:val="FF0000"/>
          <w:sz w:val="21"/>
          <w:szCs w:val="21"/>
          <w:u w:val="single"/>
        </w:rPr>
        <w:t>国内旅客运输服务（注意，国际客票不作价税分离）</w:t>
      </w:r>
      <w:r>
        <w:rPr>
          <w:rFonts w:hint="eastAsia" w:asciiTheme="minorEastAsia" w:hAnsiTheme="minorEastAsia" w:eastAsiaTheme="minorEastAsia" w:cstheme="minorEastAsia"/>
          <w:sz w:val="21"/>
          <w:szCs w:val="21"/>
        </w:rPr>
        <w:t>，其进项税额允许从销项税额中抵扣。</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（一）纳税人未取得增值税专用发票的，暂按照以下规定确定进项税额：</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2.取得注明旅客身份信息的航空运输电子客票行程单的，为按照下列公式计算进项税额：</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航空旅客运输进项税额=（票价+燃油附加费）÷（1+9%）×9%</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可见</w:t>
      </w:r>
      <w:r>
        <w:rPr>
          <w:rFonts w:hint="eastAsia" w:asciiTheme="minorEastAsia" w:hAnsiTheme="minorEastAsia" w:eastAsiaTheme="minorEastAsia" w:cstheme="minorEastAsia"/>
          <w:color w:val="222222"/>
          <w:sz w:val="21"/>
          <w:szCs w:val="21"/>
        </w:rPr>
        <w:t>航空运输电子客票行程单中只有</w:t>
      </w:r>
      <w:r>
        <w:rPr>
          <w:rFonts w:hint="eastAsia" w:asciiTheme="minorEastAsia" w:hAnsiTheme="minorEastAsia" w:eastAsiaTheme="minorEastAsia" w:cstheme="minorEastAsia"/>
          <w:sz w:val="21"/>
          <w:szCs w:val="21"/>
        </w:rPr>
        <w:t>“票价”+“燃油附加费”两项金额的合计数可以抵扣，见下图</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6299200" cy="2162175"/>
            <wp:effectExtent l="0" t="0" r="635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4"/>
                    <a:srcRect/>
                    <a:stretch>
                      <a:fillRect/>
                    </a:stretch>
                  </pic:blipFill>
                  <pic:spPr>
                    <a:xfrm>
                      <a:off x="0" y="0"/>
                      <a:ext cx="6300470" cy="2162504"/>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sz w:val="21"/>
          <w:szCs w:val="21"/>
        </w:rPr>
        <w:t>B、</w:t>
      </w:r>
      <w:r>
        <w:rPr>
          <w:rFonts w:hint="eastAsia" w:asciiTheme="minorEastAsia" w:hAnsiTheme="minorEastAsia" w:eastAsiaTheme="minorEastAsia" w:cstheme="minorEastAsia"/>
          <w:b/>
          <w:i/>
          <w:color w:val="333333"/>
          <w:sz w:val="21"/>
          <w:szCs w:val="21"/>
          <w:u w:val="single"/>
          <w:shd w:val="clear" w:color="auto" w:fill="FFFFFF"/>
        </w:rPr>
        <w:t>机票退改签</w:t>
      </w:r>
      <w:r>
        <w:rPr>
          <w:rFonts w:hint="eastAsia" w:asciiTheme="minorEastAsia" w:hAnsiTheme="minorEastAsia" w:eastAsiaTheme="minorEastAsia" w:cstheme="minorEastAsia"/>
          <w:color w:val="333333"/>
          <w:sz w:val="21"/>
          <w:szCs w:val="21"/>
          <w:shd w:val="clear" w:color="auto" w:fill="FFFFFF"/>
        </w:rPr>
        <w:t>概念：退改签包括两种：更改和签转</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b/>
          <w:i/>
          <w:sz w:val="21"/>
          <w:szCs w:val="21"/>
          <w:u w:val="single"/>
          <w:shd w:val="clear" w:color="auto" w:fill="FFFFFF"/>
        </w:rPr>
        <w:t>更改</w:t>
      </w:r>
      <w:r>
        <w:rPr>
          <w:rFonts w:hint="eastAsia" w:asciiTheme="minorEastAsia" w:hAnsiTheme="minorEastAsia" w:eastAsiaTheme="minorEastAsia" w:cstheme="minorEastAsia"/>
          <w:sz w:val="21"/>
          <w:szCs w:val="21"/>
          <w:shd w:val="clear" w:color="auto" w:fill="FFFFFF"/>
        </w:rPr>
        <w:t>又称改期指在同一航空公司的同一航线上，更改航班的变更又分为两种：同等舱位条件下的变更和升舱变更，</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"https://baike.baidu.com/item/%E5%8D%87%E8%88%B1/10122451" \t "_blank"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升舱</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shd w:val="clear" w:color="auto" w:fill="FFFFFF"/>
        </w:rPr>
        <w:t>是指所更改的航空公司相同，但所改的舱位折扣高于原订舱位的折扣。一般情况下同等舱位更改航空公司不收取手续费；升舱一般情况下航空公司都会要求补足差价。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b/>
          <w:i/>
          <w:color w:val="333333"/>
          <w:sz w:val="21"/>
          <w:szCs w:val="21"/>
          <w:u w:val="single"/>
          <w:shd w:val="clear" w:color="auto" w:fill="FFFFFF"/>
        </w:rPr>
        <w:t>签转</w:t>
      </w:r>
      <w:r>
        <w:rPr>
          <w:rFonts w:hint="eastAsia" w:asciiTheme="minorEastAsia" w:hAnsiTheme="minorEastAsia" w:eastAsiaTheme="minorEastAsia" w:cstheme="minorEastAsia"/>
          <w:color w:val="333333"/>
          <w:sz w:val="21"/>
          <w:szCs w:val="21"/>
          <w:shd w:val="clear" w:color="auto" w:fill="FFFFFF"/>
        </w:rPr>
        <w:t>指在不同航空公司之间签转。签转的两个航空公司之间必须有协议，签转只适用于全价票的客人，折扣票不可以签转.国内机票除航空公司原因外。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z w:val="21"/>
          <w:szCs w:val="21"/>
          <w:shd w:val="clear" w:color="auto" w:fill="FFFFFF"/>
        </w:rPr>
        <w:t>可见退改签只是出票的一种方式，如果因改签而加收相关费用的，通常会在“</w:t>
      </w:r>
      <w:r>
        <w:rPr>
          <w:rFonts w:hint="eastAsia" w:asciiTheme="minorEastAsia" w:hAnsiTheme="minorEastAsia" w:eastAsiaTheme="minorEastAsia" w:cstheme="minorEastAsia"/>
          <w:sz w:val="21"/>
          <w:szCs w:val="21"/>
        </w:rPr>
        <w:t>其他税费”中，不影响做价税分离；但是如果票价组成中的“票价”栏为零，备注栏又有相关信息的，则说明很可能是</w:t>
      </w:r>
      <w:r>
        <w:rPr>
          <w:rFonts w:hint="eastAsia" w:asciiTheme="minorEastAsia" w:hAnsiTheme="minorEastAsia" w:eastAsiaTheme="minorEastAsia" w:cstheme="minorEastAsia"/>
          <w:b/>
          <w:i/>
          <w:sz w:val="21"/>
          <w:szCs w:val="21"/>
          <w:highlight w:val="yellow"/>
          <w:u w:val="single"/>
        </w:rPr>
        <w:t>纯改签费或退票费</w:t>
      </w:r>
      <w:r>
        <w:rPr>
          <w:rFonts w:hint="eastAsia" w:asciiTheme="minorEastAsia" w:hAnsiTheme="minorEastAsia" w:eastAsiaTheme="minorEastAsia" w:cstheme="minorEastAsia"/>
          <w:b/>
          <w:i/>
          <w:sz w:val="21"/>
          <w:szCs w:val="21"/>
          <w:u w:val="single"/>
        </w:rPr>
        <w:t>，这种情况不能抵扣，不做价税分离</w:t>
      </w:r>
      <w:r>
        <w:rPr>
          <w:rFonts w:hint="eastAsia" w:asciiTheme="minorEastAsia" w:hAnsiTheme="minorEastAsia" w:eastAsiaTheme="minorEastAsia" w:cstheme="minorEastAsia"/>
          <w:sz w:val="21"/>
          <w:szCs w:val="21"/>
        </w:rPr>
        <w:t>。见下图</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p>
    <w:p>
      <w:pPr>
        <w:pageBreakBefore w:val="0"/>
        <w:widowControl/>
        <w:kinsoku/>
        <w:wordWrap/>
        <w:overflowPunct/>
        <w:topLinePunct w:val="0"/>
        <w:autoSpaceDE/>
        <w:autoSpaceDN/>
        <w:bidi w:val="0"/>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drawing>
          <wp:inline distT="0" distB="0" distL="0" distR="0">
            <wp:extent cx="6800850" cy="3185795"/>
            <wp:effectExtent l="0" t="0" r="0"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5"/>
                    <a:srcRect/>
                    <a:stretch>
                      <a:fillRect/>
                    </a:stretch>
                  </pic:blipFill>
                  <pic:spPr>
                    <a:xfrm>
                      <a:off x="0" y="0"/>
                      <a:ext cx="6805436" cy="3188266"/>
                    </a:xfrm>
                    <a:prstGeom prst="rect">
                      <a:avLst/>
                    </a:prstGeom>
                    <a:noFill/>
                    <a:ln w="9525">
                      <a:noFill/>
                      <a:miter lim="800000"/>
                      <a:headEnd/>
                      <a:tailEnd/>
                    </a:ln>
                  </pic:spPr>
                </pic:pic>
              </a:graphicData>
            </a:graphic>
          </wp:inline>
        </w:drawing>
      </w:r>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83" w:name="_Toc23907"/>
      <w:bookmarkStart w:id="84" w:name="_Toc7192"/>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US" w:eastAsia="zh-CN"/>
        </w:rPr>
        <w:t xml:space="preserve">.11 </w:t>
      </w:r>
      <w:r>
        <w:rPr>
          <w:rFonts w:hint="eastAsia" w:asciiTheme="minorEastAsia" w:hAnsiTheme="minorEastAsia" w:eastAsiaTheme="minorEastAsia" w:cstheme="minorEastAsia"/>
          <w:sz w:val="21"/>
          <w:szCs w:val="21"/>
        </w:rPr>
        <w:t>异地房产过户增值税特殊账务处理</w:t>
      </w:r>
      <w:bookmarkEnd w:id="83"/>
      <w:bookmarkEnd w:id="84"/>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集团内公司存在异房产登记的情况，现对异地房产过户中的账务处理事项，尤其是涉及增值税事项作以下指引。</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A结转原值 ：房产入账科目为投资性房地产的，在交易环节使用“其他业务收入”科目确认损益；房产入账科目为固定资产的，在交易环节先通过“固定资产清理”科目归集，清理完毕后转入“资产处置收益-固定资产处置”科目。</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根据《HSGZ-03106以房抵款财务处理指引V20190819》核算规则，涉及手续费的，手续损益科目为</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2835"/>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69"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房产在账务中处于的科目</w:t>
            </w:r>
          </w:p>
        </w:tc>
        <w:tc>
          <w:tcPr>
            <w:tcW w:w="6378" w:type="dxa"/>
            <w:gridSpan w:val="2"/>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发生的手续费用（除代付契税外）入账科目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69"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应收账款</w:t>
            </w:r>
          </w:p>
        </w:tc>
        <w:tc>
          <w:tcPr>
            <w:tcW w:w="2835"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借：管理费用</w:t>
            </w:r>
          </w:p>
        </w:tc>
        <w:tc>
          <w:tcPr>
            <w:tcW w:w="3543"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贷：银行存款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69"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其他非流动性资产</w:t>
            </w:r>
          </w:p>
        </w:tc>
        <w:tc>
          <w:tcPr>
            <w:tcW w:w="2835"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借：资产处置损益</w:t>
            </w:r>
          </w:p>
        </w:tc>
        <w:tc>
          <w:tcPr>
            <w:tcW w:w="3543"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贷：银行存款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69"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固定资产</w:t>
            </w:r>
          </w:p>
        </w:tc>
        <w:tc>
          <w:tcPr>
            <w:tcW w:w="2835"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借：固定资产清理</w:t>
            </w:r>
          </w:p>
        </w:tc>
        <w:tc>
          <w:tcPr>
            <w:tcW w:w="3543"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贷：银行存款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69"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投资性房地产</w:t>
            </w:r>
          </w:p>
        </w:tc>
        <w:tc>
          <w:tcPr>
            <w:tcW w:w="2835"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借：资产处置损益</w:t>
            </w:r>
          </w:p>
        </w:tc>
        <w:tc>
          <w:tcPr>
            <w:tcW w:w="3543" w:type="dxa"/>
          </w:tcPr>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贷：银行存款</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根据增值税征收规定，增值税在房产所在地交纳，另外存在税务机关对交易金额进行调整后再缴税的情况（即税务评估金额&gt;交易金额），从而导致发票/完税凭证的销项税与按交易金额计算的销项税额不一致的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C对于税务评估金额与实际交易金额不一致的，销项税统一按发票/完税凭证中的销项税入账，差额部分计入损益。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D正常情况发票由</w:t>
      </w:r>
      <w:r>
        <w:rPr>
          <w:rFonts w:hint="eastAsia" w:asciiTheme="minorEastAsia" w:hAnsiTheme="minorEastAsia" w:eastAsiaTheme="minorEastAsia" w:cstheme="minorEastAsia"/>
          <w:sz w:val="21"/>
          <w:szCs w:val="21"/>
          <w:lang w:eastAsia="zh-CN"/>
        </w:rPr>
        <w:t>房屋</w:t>
      </w:r>
      <w:r>
        <w:rPr>
          <w:rFonts w:hint="eastAsia" w:asciiTheme="minorEastAsia" w:hAnsiTheme="minorEastAsia" w:eastAsiaTheme="minorEastAsia" w:cstheme="minorEastAsia"/>
          <w:sz w:val="21"/>
          <w:szCs w:val="21"/>
        </w:rPr>
        <w:t>所在地税务机关代开，但是根据反馈有些地方税务机关针对企业</w:t>
      </w:r>
      <w:r>
        <w:rPr>
          <w:rFonts w:hint="eastAsia" w:asciiTheme="minorEastAsia" w:hAnsiTheme="minorEastAsia" w:eastAsiaTheme="minorEastAsia" w:cstheme="minorEastAsia"/>
          <w:sz w:val="21"/>
          <w:szCs w:val="21"/>
          <w:lang w:eastAsia="zh-CN"/>
        </w:rPr>
        <w:t>是</w:t>
      </w:r>
      <w:r>
        <w:rPr>
          <w:rFonts w:hint="eastAsia" w:asciiTheme="minorEastAsia" w:hAnsiTheme="minorEastAsia" w:eastAsiaTheme="minorEastAsia" w:cstheme="minorEastAsia"/>
          <w:sz w:val="21"/>
          <w:szCs w:val="21"/>
        </w:rPr>
        <w:t>销售方</w:t>
      </w:r>
      <w:r>
        <w:rPr>
          <w:rFonts w:hint="eastAsia" w:asciiTheme="minorEastAsia" w:hAnsiTheme="minorEastAsia" w:eastAsiaTheme="minorEastAsia" w:cstheme="minorEastAsia"/>
          <w:sz w:val="21"/>
          <w:szCs w:val="21"/>
          <w:lang w:eastAsia="zh-CN"/>
        </w:rPr>
        <w:t>的</w:t>
      </w:r>
      <w:r>
        <w:rPr>
          <w:rFonts w:hint="eastAsia" w:asciiTheme="minorEastAsia" w:hAnsiTheme="minorEastAsia" w:eastAsiaTheme="minorEastAsia" w:cstheme="minorEastAsia"/>
          <w:sz w:val="21"/>
          <w:szCs w:val="21"/>
        </w:rPr>
        <w:t>不</w:t>
      </w:r>
      <w:r>
        <w:rPr>
          <w:rFonts w:hint="eastAsia" w:asciiTheme="minorEastAsia" w:hAnsiTheme="minorEastAsia" w:eastAsiaTheme="minorEastAsia" w:cstheme="minorEastAsia"/>
          <w:sz w:val="21"/>
          <w:szCs w:val="21"/>
          <w:lang w:eastAsia="zh-CN"/>
        </w:rPr>
        <w:t>另</w:t>
      </w:r>
      <w:r>
        <w:rPr>
          <w:rFonts w:hint="eastAsia" w:asciiTheme="minorEastAsia" w:hAnsiTheme="minorEastAsia" w:eastAsiaTheme="minorEastAsia" w:cstheme="minorEastAsia"/>
          <w:sz w:val="21"/>
          <w:szCs w:val="21"/>
        </w:rPr>
        <w:t>代开发票，而只开完税凭证，发票由销售方自行开具，这会导致开票的销项税与税务机关代缴的增值税重复，因此公司还需要对开具的销项税申请减免，具体减免金额</w:t>
      </w:r>
      <w:r>
        <w:rPr>
          <w:rFonts w:hint="eastAsia" w:asciiTheme="minorEastAsia" w:hAnsiTheme="minorEastAsia" w:eastAsiaTheme="minorEastAsia" w:cstheme="minorEastAsia"/>
          <w:sz w:val="21"/>
          <w:szCs w:val="21"/>
          <w:lang w:eastAsia="zh-CN"/>
        </w:rPr>
        <w:t>以</w:t>
      </w:r>
      <w:r>
        <w:rPr>
          <w:rFonts w:hint="eastAsia" w:asciiTheme="minorEastAsia" w:hAnsiTheme="minorEastAsia" w:eastAsiaTheme="minorEastAsia" w:cstheme="minorEastAsia"/>
          <w:sz w:val="21"/>
          <w:szCs w:val="21"/>
        </w:rPr>
        <w:t>纳税申报表中的减免金额</w:t>
      </w:r>
      <w:r>
        <w:rPr>
          <w:rFonts w:hint="eastAsia" w:asciiTheme="minorEastAsia" w:hAnsiTheme="minorEastAsia" w:eastAsiaTheme="minorEastAsia" w:cstheme="minorEastAsia"/>
          <w:sz w:val="21"/>
          <w:szCs w:val="21"/>
          <w:lang w:eastAsia="zh-CN"/>
        </w:rPr>
        <w:t>为准</w:t>
      </w:r>
      <w:r>
        <w:rPr>
          <w:rFonts w:hint="eastAsia" w:asciiTheme="minorEastAsia" w:hAnsiTheme="minorEastAsia" w:eastAsiaTheme="minorEastAsia" w:cstheme="minorEastAsia"/>
          <w:sz w:val="21"/>
          <w:szCs w:val="21"/>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现将异地房产过户涉及的情景及账务处理以图解的形式展现</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6750050" cy="4102100"/>
            <wp:effectExtent l="0" t="0" r="12700"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16"/>
                    <a:srcRect/>
                    <a:stretch>
                      <a:fillRect/>
                    </a:stretch>
                  </pic:blipFill>
                  <pic:spPr>
                    <a:xfrm>
                      <a:off x="0" y="0"/>
                      <a:ext cx="6757290" cy="4106730"/>
                    </a:xfrm>
                    <a:prstGeom prst="rect">
                      <a:avLst/>
                    </a:prstGeom>
                    <a:noFill/>
                    <a:ln w="9525">
                      <a:noFill/>
                      <a:miter lim="800000"/>
                      <a:headEnd/>
                      <a:tailEnd/>
                    </a:ln>
                  </pic:spPr>
                </pic:pic>
              </a:graphicData>
            </a:graphic>
          </wp:inline>
        </w:drawing>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eastAsia" w:asciiTheme="minorEastAsia" w:hAnsiTheme="minorEastAsia" w:eastAsiaTheme="minorEastAsia" w:cstheme="minorEastAsia"/>
          <w:b/>
          <w:bCs/>
          <w:i w:val="0"/>
          <w:caps w:val="0"/>
          <w:color w:val="333333"/>
          <w:spacing w:val="0"/>
          <w:sz w:val="21"/>
          <w:szCs w:val="21"/>
          <w:shd w:val="clear" w:fill="FFFFFF"/>
        </w:rPr>
      </w:pPr>
      <w:bookmarkStart w:id="85" w:name="_Toc6728"/>
      <w:bookmarkStart w:id="86" w:name="_Toc30765"/>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 xml:space="preserve">3.12 </w:t>
      </w:r>
      <w:r>
        <w:rPr>
          <w:rFonts w:hint="eastAsia" w:asciiTheme="minorEastAsia" w:hAnsiTheme="minorEastAsia" w:eastAsiaTheme="minorEastAsia" w:cstheme="minorEastAsia"/>
          <w:b/>
          <w:bCs/>
          <w:i w:val="0"/>
          <w:caps w:val="0"/>
          <w:color w:val="333333"/>
          <w:spacing w:val="0"/>
          <w:sz w:val="21"/>
          <w:szCs w:val="21"/>
          <w:shd w:val="clear" w:fill="FFFFFF"/>
          <w:lang w:eastAsia="zh-CN"/>
        </w:rPr>
        <w:t>取得航空公司增值税电子</w:t>
      </w:r>
      <w:r>
        <w:rPr>
          <w:rFonts w:hint="eastAsia" w:asciiTheme="minorEastAsia" w:hAnsiTheme="minorEastAsia" w:eastAsiaTheme="minorEastAsia" w:cstheme="minorEastAsia"/>
          <w:b/>
          <w:bCs/>
          <w:i w:val="0"/>
          <w:caps w:val="0"/>
          <w:color w:val="FF0000"/>
          <w:spacing w:val="0"/>
          <w:sz w:val="21"/>
          <w:szCs w:val="21"/>
          <w:shd w:val="clear" w:fill="FFFFFF"/>
          <w:lang w:eastAsia="zh-CN"/>
        </w:rPr>
        <w:t>普通</w:t>
      </w:r>
      <w:r>
        <w:rPr>
          <w:rFonts w:hint="eastAsia" w:asciiTheme="minorEastAsia" w:hAnsiTheme="minorEastAsia" w:eastAsiaTheme="minorEastAsia" w:cstheme="minorEastAsia"/>
          <w:b/>
          <w:bCs/>
          <w:i w:val="0"/>
          <w:caps w:val="0"/>
          <w:color w:val="333333"/>
          <w:spacing w:val="0"/>
          <w:sz w:val="21"/>
          <w:szCs w:val="21"/>
          <w:shd w:val="clear" w:fill="FFFFFF"/>
          <w:lang w:eastAsia="zh-CN"/>
        </w:rPr>
        <w:t>发票的内容为“</w:t>
      </w:r>
      <w:r>
        <w:rPr>
          <w:rFonts w:hint="eastAsia" w:asciiTheme="minorEastAsia" w:hAnsiTheme="minorEastAsia" w:eastAsiaTheme="minorEastAsia" w:cstheme="minorEastAsia"/>
          <w:b/>
          <w:bCs/>
          <w:i w:val="0"/>
          <w:caps w:val="0"/>
          <w:color w:val="333333"/>
          <w:spacing w:val="0"/>
          <w:sz w:val="21"/>
          <w:szCs w:val="21"/>
          <w:shd w:val="clear" w:fill="FFFFFF"/>
        </w:rPr>
        <w:t>逾重行李费</w:t>
      </w:r>
      <w:r>
        <w:rPr>
          <w:rFonts w:hint="eastAsia" w:asciiTheme="minorEastAsia" w:hAnsiTheme="minorEastAsia" w:eastAsiaTheme="minorEastAsia" w:cstheme="minorEastAsia"/>
          <w:b/>
          <w:bCs/>
          <w:i w:val="0"/>
          <w:caps w:val="0"/>
          <w:color w:val="333333"/>
          <w:spacing w:val="0"/>
          <w:sz w:val="21"/>
          <w:szCs w:val="21"/>
          <w:shd w:val="clear" w:fill="FFFFFF"/>
          <w:lang w:eastAsia="zh-CN"/>
        </w:rPr>
        <w:t>”是否可以做价税分离？</w:t>
      </w:r>
      <w:bookmarkEnd w:id="85"/>
      <w:bookmarkEnd w:id="86"/>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Theme="minorEastAsia" w:hAnsiTheme="minorEastAsia" w:eastAsiaTheme="minorEastAsia" w:cstheme="minorEastAsia"/>
          <w:b w:val="0"/>
          <w:i w:val="0"/>
          <w:caps w:val="0"/>
          <w:color w:val="333333"/>
          <w:spacing w:val="0"/>
          <w:sz w:val="21"/>
          <w:szCs w:val="21"/>
          <w:shd w:val="clear" w:fill="FFFFFF"/>
          <w:lang w:eastAsia="zh-CN"/>
        </w:rPr>
      </w:pPr>
      <w:r>
        <w:rPr>
          <w:rFonts w:hint="eastAsia" w:asciiTheme="minorEastAsia" w:hAnsiTheme="minorEastAsia" w:eastAsiaTheme="minorEastAsia" w:cstheme="minorEastAsia"/>
          <w:b w:val="0"/>
          <w:i w:val="0"/>
          <w:caps w:val="0"/>
          <w:color w:val="333333"/>
          <w:spacing w:val="0"/>
          <w:sz w:val="21"/>
          <w:szCs w:val="21"/>
          <w:shd w:val="clear" w:fill="FFFFFF"/>
          <w:lang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Theme="minorEastAsia" w:hAnsiTheme="minorEastAsia" w:eastAsiaTheme="minorEastAsia" w:cstheme="minorEastAsia"/>
          <w:b w:val="0"/>
          <w:i w:val="0"/>
          <w:caps w:val="0"/>
          <w:color w:val="333333"/>
          <w:spacing w:val="0"/>
          <w:sz w:val="21"/>
          <w:szCs w:val="21"/>
          <w:shd w:val="clear" w:fill="FFFFFF"/>
          <w:lang w:eastAsia="zh-CN"/>
        </w:rPr>
      </w:pPr>
      <w:r>
        <w:rPr>
          <w:rFonts w:hint="eastAsia" w:asciiTheme="minorEastAsia" w:hAnsiTheme="minorEastAsia" w:eastAsiaTheme="minorEastAsia" w:cstheme="minorEastAsia"/>
          <w:b w:val="0"/>
          <w:i w:val="0"/>
          <w:caps w:val="0"/>
          <w:color w:val="333333"/>
          <w:spacing w:val="0"/>
          <w:sz w:val="21"/>
          <w:szCs w:val="21"/>
          <w:shd w:val="clear" w:fill="FFFFFF"/>
          <w:lang w:eastAsia="zh-CN"/>
        </w:rPr>
        <w:t>逾重行李费属于货物运输服务，不属于旅客运输服务，应取得专用发票才可以抵扣，因此不做价税分离。</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sz w:val="21"/>
          <w:szCs w:val="21"/>
        </w:rPr>
        <w:drawing>
          <wp:inline distT="0" distB="0" distL="114300" distR="114300">
            <wp:extent cx="6011545" cy="2905125"/>
            <wp:effectExtent l="0" t="0" r="8255" b="952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7"/>
                    <a:stretch>
                      <a:fillRect/>
                    </a:stretch>
                  </pic:blipFill>
                  <pic:spPr>
                    <a:xfrm>
                      <a:off x="0" y="0"/>
                      <a:ext cx="6011545" cy="2905125"/>
                    </a:xfrm>
                    <a:prstGeom prst="rect">
                      <a:avLst/>
                    </a:prstGeom>
                    <a:noFill/>
                    <a:ln w="9525">
                      <a:noFill/>
                    </a:ln>
                  </pic:spPr>
                </pic:pic>
              </a:graphicData>
            </a:graphic>
          </wp:inline>
        </w:drawing>
      </w:r>
    </w:p>
    <w:p>
      <w:pPr>
        <w:pageBreakBefore w:val="0"/>
        <w:kinsoku/>
        <w:wordWrap/>
        <w:overflowPunct/>
        <w:topLinePunct w:val="0"/>
        <w:autoSpaceDE/>
        <w:autoSpaceDN/>
        <w:bidi w:val="0"/>
        <w:adjustRightInd w:val="0"/>
        <w:snapToGrid w:val="0"/>
        <w:spacing w:before="0" w:after="0" w:line="360" w:lineRule="auto"/>
        <w:outlineLvl w:val="9"/>
        <w:rPr>
          <w:rFonts w:hint="eastAsia" w:asciiTheme="minorEastAsia" w:hAnsiTheme="minorEastAsia" w:eastAsiaTheme="minorEastAsia" w:cstheme="minorEastAsia"/>
          <w:sz w:val="21"/>
          <w:szCs w:val="21"/>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i w:val="0"/>
          <w:caps w:val="0"/>
          <w:color w:val="333333"/>
          <w:spacing w:val="0"/>
          <w:sz w:val="21"/>
          <w:szCs w:val="21"/>
          <w:shd w:val="clear" w:fill="FFFFFF"/>
          <w:lang w:val="en-US" w:eastAsia="zh-CN"/>
        </w:rPr>
      </w:pPr>
      <w:bookmarkStart w:id="87" w:name="_Toc14433"/>
      <w:r>
        <w:rPr>
          <w:rFonts w:hint="eastAsia" w:asciiTheme="minorEastAsia" w:hAnsiTheme="minorEastAsia" w:cstheme="minorEastAsia"/>
          <w:b/>
          <w:bCs/>
          <w:i w:val="0"/>
          <w:caps w:val="0"/>
          <w:color w:val="333333"/>
          <w:spacing w:val="0"/>
          <w:sz w:val="21"/>
          <w:szCs w:val="21"/>
          <w:shd w:val="clear" w:fill="FFFFFF"/>
          <w:lang w:val="en-US" w:eastAsia="zh-CN"/>
        </w:rPr>
        <w:t>3.13 目前可抵扣的增值税普通发票还有哪些？</w:t>
      </w:r>
      <w:bookmarkEnd w:id="87"/>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答：</w:t>
      </w:r>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目前集团业务中涉及可抵扣的增值税发票主要包括通行费电子普通发票、购进国内旅客运输服务取得的增值税电子普通发票、其他普通发票。</w:t>
      </w:r>
    </w:p>
    <w:p>
      <w:pPr>
        <w:pageBreakBefore w:val="0"/>
        <w:kinsoku/>
        <w:wordWrap/>
        <w:overflowPunct/>
        <w:topLinePunct w:val="0"/>
        <w:autoSpaceDE/>
        <w:autoSpaceDN/>
        <w:bidi w:val="0"/>
        <w:spacing w:line="360" w:lineRule="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3.13.1收费公路通行费</w:t>
      </w:r>
      <w:r>
        <w:rPr>
          <w:rFonts w:hint="eastAsia" w:asciiTheme="minorEastAsia" w:hAnsiTheme="minorEastAsia" w:cstheme="minorEastAsia"/>
          <w:color w:val="FF0000"/>
          <w:sz w:val="21"/>
          <w:szCs w:val="21"/>
          <w:lang w:val="en-US" w:eastAsia="zh-CN"/>
        </w:rPr>
        <w:t>电子普通发票</w:t>
      </w:r>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收费公路通行费电子普通发票左上角标识“通行费”字样，且税率栏次显示适用税率或征收率，</w:t>
      </w:r>
      <w:r>
        <w:rPr>
          <w:rFonts w:hint="eastAsia" w:asciiTheme="minorEastAsia" w:hAnsiTheme="minorEastAsia" w:cstheme="minorEastAsia"/>
          <w:color w:val="FF0000"/>
          <w:sz w:val="21"/>
          <w:szCs w:val="21"/>
          <w:lang w:val="en-US" w:eastAsia="zh-CN"/>
        </w:rPr>
        <w:t>发票抬头为公司，</w:t>
      </w:r>
      <w:r>
        <w:rPr>
          <w:rFonts w:hint="eastAsia" w:asciiTheme="minorEastAsia" w:hAnsiTheme="minorEastAsia" w:cstheme="minorEastAsia"/>
          <w:sz w:val="21"/>
          <w:szCs w:val="21"/>
          <w:lang w:val="en-US" w:eastAsia="zh-CN"/>
        </w:rPr>
        <w:t>在增值税发票选择确认平台勾选抵扣增值税。注意：如取得的通行费电子发票，左上角没有“通行费”字样，“税率”栏显示“不征税”、“税额”不显示金额的通行费电子发票，属于不征税发票，不得申报抵扣，见下图</w:t>
      </w:r>
    </w:p>
    <w:p>
      <w:pPr>
        <w:pageBreakBefore w:val="0"/>
        <w:kinsoku/>
        <w:wordWrap/>
        <w:overflowPunct/>
        <w:topLinePunct w:val="0"/>
        <w:autoSpaceDE/>
        <w:autoSpaceDN/>
        <w:bidi w:val="0"/>
        <w:spacing w:line="360" w:lineRule="auto"/>
        <w:rPr>
          <w:rFonts w:hint="eastAsia" w:eastAsia="宋体" w:asciiTheme="minorEastAsia" w:hAnsiTheme="minorEastAsia" w:cstheme="minorEastAsia"/>
          <w:sz w:val="21"/>
          <w:szCs w:val="21"/>
          <w:lang w:val="en-US" w:eastAsia="zh-CN"/>
        </w:rPr>
      </w:pPr>
      <w:r>
        <w:rPr>
          <w:rFonts w:ascii="宋体" w:hAnsi="宋体" w:eastAsia="宋体" w:cs="宋体"/>
          <w:sz w:val="24"/>
          <w:szCs w:val="24"/>
        </w:rPr>
        <w:drawing>
          <wp:inline distT="0" distB="0" distL="114300" distR="114300">
            <wp:extent cx="38100" cy="76200"/>
            <wp:effectExtent l="0" t="0" r="0"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r>
        <w:rPr>
          <w:rFonts w:hint="eastAsia" w:eastAsia="宋体" w:asciiTheme="minorEastAsia" w:hAnsiTheme="minorEastAsia" w:cstheme="minorEastAsia"/>
          <w:sz w:val="21"/>
          <w:szCs w:val="21"/>
          <w:lang w:val="en-US" w:eastAsia="zh-CN"/>
        </w:rPr>
        <w:drawing>
          <wp:inline distT="0" distB="0" distL="114300" distR="114300">
            <wp:extent cx="6294120" cy="2254250"/>
            <wp:effectExtent l="0" t="0" r="11430" b="12700"/>
            <wp:docPr id="15" name="图片 1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pic:cNvPicPr>
                  </pic:nvPicPr>
                  <pic:blipFill>
                    <a:blip r:embed="rId19"/>
                    <a:stretch>
                      <a:fillRect/>
                    </a:stretch>
                  </pic:blipFill>
                  <pic:spPr>
                    <a:xfrm>
                      <a:off x="0" y="0"/>
                      <a:ext cx="6294120" cy="2254250"/>
                    </a:xfrm>
                    <a:prstGeom prst="rect">
                      <a:avLst/>
                    </a:prstGeom>
                  </pic:spPr>
                </pic:pic>
              </a:graphicData>
            </a:graphic>
          </wp:inline>
        </w:drawing>
      </w:r>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3.13.2购进</w:t>
      </w:r>
      <w:r>
        <w:rPr>
          <w:rFonts w:hint="eastAsia" w:asciiTheme="minorEastAsia" w:hAnsiTheme="minorEastAsia" w:cstheme="minorEastAsia"/>
          <w:color w:val="FF0000"/>
          <w:sz w:val="21"/>
          <w:szCs w:val="21"/>
          <w:lang w:val="en-US" w:eastAsia="zh-CN"/>
        </w:rPr>
        <w:t>国内旅客运输服务</w:t>
      </w:r>
      <w:r>
        <w:rPr>
          <w:rFonts w:hint="eastAsia" w:asciiTheme="minorEastAsia" w:hAnsiTheme="minorEastAsia" w:cstheme="minorEastAsia"/>
          <w:sz w:val="21"/>
          <w:szCs w:val="21"/>
          <w:lang w:val="en-US" w:eastAsia="zh-CN"/>
        </w:rPr>
        <w:t>，取得增值税</w:t>
      </w:r>
      <w:r>
        <w:rPr>
          <w:rFonts w:hint="eastAsia" w:asciiTheme="minorEastAsia" w:hAnsiTheme="minorEastAsia" w:cstheme="minorEastAsia"/>
          <w:color w:val="FF0000"/>
          <w:sz w:val="21"/>
          <w:szCs w:val="21"/>
          <w:lang w:val="en-US" w:eastAsia="zh-CN"/>
        </w:rPr>
        <w:t>电子普通发票</w:t>
      </w:r>
      <w:r>
        <w:rPr>
          <w:rFonts w:hint="eastAsia" w:asciiTheme="minorEastAsia" w:hAnsiTheme="minorEastAsia" w:cstheme="minorEastAsia"/>
          <w:sz w:val="21"/>
          <w:szCs w:val="21"/>
          <w:lang w:val="en-US" w:eastAsia="zh-CN"/>
        </w:rPr>
        <w:t>的，其进项税额为发票上注明的税额。</w:t>
      </w:r>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客运服务的发票内容有点多，如“客运服务”、“乘车费”等等，</w:t>
      </w:r>
      <w:r>
        <w:rPr>
          <w:rFonts w:hint="eastAsia" w:asciiTheme="minorEastAsia" w:hAnsiTheme="minorEastAsia" w:cstheme="minorEastAsia"/>
          <w:color w:val="FF0000"/>
          <w:sz w:val="21"/>
          <w:szCs w:val="21"/>
          <w:highlight w:val="yellow"/>
          <w:lang w:val="en-US" w:eastAsia="zh-CN"/>
        </w:rPr>
        <w:t>发票抬头为公司</w:t>
      </w:r>
      <w:r>
        <w:rPr>
          <w:rFonts w:hint="eastAsia" w:asciiTheme="minorEastAsia" w:hAnsiTheme="minorEastAsia" w:cstheme="minorEastAsia"/>
          <w:sz w:val="21"/>
          <w:szCs w:val="21"/>
          <w:lang w:val="en-US" w:eastAsia="zh-CN"/>
        </w:rPr>
        <w:t>。</w:t>
      </w:r>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3.13.3如果将除增值税专用发票、海关进口增值税专用缴款书和完税凭证以外的其他扣税凭证也称作“普通发票”，可抵扣的“普通发票”还包括：桥、闸通行费发票、购进国内旅客服务取得的票据和机动车销售统一发票。</w:t>
      </w:r>
    </w:p>
    <w:p>
      <w:pPr>
        <w:pageBreakBefore w:val="0"/>
        <w:numPr>
          <w:ilvl w:val="0"/>
          <w:numId w:val="7"/>
        </w:numPr>
        <w:kinsoku/>
        <w:wordWrap/>
        <w:overflowPunct/>
        <w:topLinePunct w:val="0"/>
        <w:autoSpaceDE/>
        <w:autoSpaceDN/>
        <w:bidi w:val="0"/>
        <w:spacing w:line="360" w:lineRule="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桥、闸通行费发票</w:t>
      </w:r>
      <w:r>
        <w:rPr>
          <w:rFonts w:hint="eastAsia" w:asciiTheme="minorEastAsia" w:hAnsiTheme="minorEastAsia" w:cstheme="minorEastAsia"/>
          <w:color w:val="auto"/>
          <w:sz w:val="21"/>
          <w:szCs w:val="21"/>
          <w:highlight w:val="yellow"/>
          <w:lang w:val="en-US" w:eastAsia="zh-CN"/>
        </w:rPr>
        <w:t>-考虑该业务量少及票面复杂，已与税务部沟通，报销时无须价税分离</w:t>
      </w:r>
    </w:p>
    <w:p>
      <w:pPr>
        <w:pageBreakBefore w:val="0"/>
        <w:numPr>
          <w:ilvl w:val="0"/>
          <w:numId w:val="0"/>
        </w:numPr>
        <w:kinsoku/>
        <w:wordWrap/>
        <w:overflowPunct/>
        <w:topLinePunct w:val="0"/>
        <w:autoSpaceDE/>
        <w:autoSpaceDN/>
        <w:bidi w:val="0"/>
        <w:spacing w:line="360" w:lineRule="auto"/>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桥、闸通行费以通行费发票为抵扣凭证，计算抵扣增值税。</w:t>
      </w:r>
    </w:p>
    <w:p>
      <w:pPr>
        <w:pageBreakBefore w:val="0"/>
        <w:numPr>
          <w:ilvl w:val="0"/>
          <w:numId w:val="0"/>
        </w:numPr>
        <w:kinsoku/>
        <w:wordWrap/>
        <w:overflowPunct/>
        <w:topLinePunct w:val="0"/>
        <w:autoSpaceDE/>
        <w:autoSpaceDN/>
        <w:bidi w:val="0"/>
        <w:spacing w:line="360" w:lineRule="auto"/>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桥、闸通行费可抵扣进项税额=桥、闸通行费发票上注明的金额÷（1+5%）×5%</w:t>
      </w:r>
    </w:p>
    <w:p>
      <w:pPr>
        <w:pageBreakBefore w:val="0"/>
        <w:numPr>
          <w:ilvl w:val="0"/>
          <w:numId w:val="0"/>
        </w:numPr>
        <w:kinsoku/>
        <w:wordWrap/>
        <w:overflowPunct/>
        <w:topLinePunct w:val="0"/>
        <w:autoSpaceDE/>
        <w:autoSpaceDN/>
        <w:bidi w:val="0"/>
        <w:spacing w:line="360" w:lineRule="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2981960" cy="2682240"/>
            <wp:effectExtent l="0" t="0" r="8890" b="3810"/>
            <wp:docPr id="16" name="图片 16"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img (2)"/>
                    <pic:cNvPicPr>
                      <a:picLocks noChangeAspect="1"/>
                    </pic:cNvPicPr>
                  </pic:nvPicPr>
                  <pic:blipFill>
                    <a:blip r:embed="rId20"/>
                    <a:stretch>
                      <a:fillRect/>
                    </a:stretch>
                  </pic:blipFill>
                  <pic:spPr>
                    <a:xfrm>
                      <a:off x="0" y="0"/>
                      <a:ext cx="2981960" cy="2682240"/>
                    </a:xfrm>
                    <a:prstGeom prst="rect">
                      <a:avLst/>
                    </a:prstGeom>
                  </pic:spPr>
                </pic:pic>
              </a:graphicData>
            </a:graphic>
          </wp:inline>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drawing>
          <wp:inline distT="0" distB="0" distL="114300" distR="114300">
            <wp:extent cx="3537585" cy="2317750"/>
            <wp:effectExtent l="0" t="0" r="5715" b="6350"/>
            <wp:docPr id="17" name="图片 17"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img (1)"/>
                    <pic:cNvPicPr>
                      <a:picLocks noChangeAspect="1"/>
                    </pic:cNvPicPr>
                  </pic:nvPicPr>
                  <pic:blipFill>
                    <a:blip r:embed="rId21"/>
                    <a:stretch>
                      <a:fillRect/>
                    </a:stretch>
                  </pic:blipFill>
                  <pic:spPr>
                    <a:xfrm>
                      <a:off x="0" y="0"/>
                      <a:ext cx="3537585" cy="2317750"/>
                    </a:xfrm>
                    <a:prstGeom prst="rect">
                      <a:avLst/>
                    </a:prstGeom>
                  </pic:spPr>
                </pic:pic>
              </a:graphicData>
            </a:graphic>
          </wp:inline>
        </w:drawing>
      </w:r>
      <w:r>
        <w:rPr>
          <w:rFonts w:hint="eastAsia" w:asciiTheme="minorEastAsia" w:hAnsiTheme="minorEastAsia" w:cstheme="minorEastAsia"/>
          <w:sz w:val="21"/>
          <w:szCs w:val="21"/>
          <w:lang w:val="en-US" w:eastAsia="zh-CN"/>
        </w:rPr>
        <w:t xml:space="preserve">                                                      </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2）购进国内旅客服务取得的票据（即个人乘坐铁路、机票行路单、公路、水运的通行票，</w:t>
      </w:r>
      <w:r>
        <w:rPr>
          <w:rFonts w:hint="eastAsia" w:asciiTheme="minorEastAsia" w:hAnsiTheme="minorEastAsia" w:cstheme="minorEastAsia"/>
          <w:color w:val="FF0000"/>
          <w:sz w:val="21"/>
          <w:szCs w:val="21"/>
          <w:lang w:val="en-US" w:eastAsia="zh-CN"/>
        </w:rPr>
        <w:t>已在前面的问题中收集</w:t>
      </w:r>
      <w:r>
        <w:rPr>
          <w:rFonts w:hint="eastAsia" w:asciiTheme="minorEastAsia" w:hAnsiTheme="minorEastAsia" w:cstheme="minorEastAsia"/>
          <w:sz w:val="21"/>
          <w:szCs w:val="21"/>
          <w:lang w:val="en-US" w:eastAsia="zh-CN"/>
        </w:rPr>
        <w:t>）</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3）机动车销售统一发票</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机动车销售统一发票一共有六联，第一联和第二联是给购货方的，第三联给车购税征收单位，第四联给车辆登记单位，最后两联是销售方自己留的。开具时应使用机动车销售统一发票税控系统。在盖章中该票有特殊规定，抵扣联和报税联不得加盖印章，注册登记联一律加盖开票单位印章</w:t>
      </w:r>
      <w:r>
        <w:rPr>
          <w:rFonts w:hint="eastAsia" w:asciiTheme="minorEastAsia" w:hAnsiTheme="minorEastAsia" w:cstheme="minorEastAsia"/>
          <w:sz w:val="21"/>
          <w:szCs w:val="21"/>
          <w:lang w:val="en-US" w:eastAsia="zh-CN"/>
        </w:rPr>
        <w:t>。</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drawing>
          <wp:inline distT="0" distB="0" distL="114300" distR="114300">
            <wp:extent cx="6298565" cy="3888105"/>
            <wp:effectExtent l="0" t="0" r="6985" b="17145"/>
            <wp:docPr id="18" name="图片 18" descr="7361941985494c0fa787870be4eca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361941985494c0fa787870be4eca788"/>
                    <pic:cNvPicPr>
                      <a:picLocks noChangeAspect="1"/>
                    </pic:cNvPicPr>
                  </pic:nvPicPr>
                  <pic:blipFill>
                    <a:blip r:embed="rId22"/>
                    <a:stretch>
                      <a:fillRect/>
                    </a:stretch>
                  </pic:blipFill>
                  <pic:spPr>
                    <a:xfrm>
                      <a:off x="0" y="0"/>
                      <a:ext cx="6298565" cy="388810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i w:val="0"/>
          <w:caps w:val="0"/>
          <w:color w:val="333333"/>
          <w:spacing w:val="0"/>
          <w:sz w:val="21"/>
          <w:szCs w:val="21"/>
          <w:shd w:val="clear" w:fill="FFFFFF"/>
          <w:lang w:val="en-US" w:eastAsia="zh-CN"/>
        </w:rPr>
      </w:pPr>
      <w:bookmarkStart w:id="88" w:name="_Toc18336"/>
      <w:r>
        <w:rPr>
          <w:rFonts w:hint="eastAsia" w:asciiTheme="minorEastAsia" w:hAnsiTheme="minorEastAsia" w:cstheme="minorEastAsia"/>
          <w:b/>
          <w:bCs/>
          <w:i w:val="0"/>
          <w:caps w:val="0"/>
          <w:color w:val="333333"/>
          <w:spacing w:val="0"/>
          <w:sz w:val="21"/>
          <w:szCs w:val="21"/>
          <w:shd w:val="clear" w:fill="FFFFFF"/>
          <w:lang w:val="en-US" w:eastAsia="zh-CN"/>
        </w:rPr>
        <w:t>3.14 一般纳税人当月取得增值税专用发票并认证完毕后对方公司做了发票作废操作，该发票当月退回开票方，如何入账？</w:t>
      </w:r>
      <w:bookmarkEnd w:id="88"/>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答：</w:t>
      </w:r>
    </w:p>
    <w:p>
      <w:pPr>
        <w:pageBreakBefore w:val="0"/>
        <w:widowControl w:val="0"/>
        <w:kinsoku/>
        <w:wordWrap/>
        <w:overflowPunct/>
        <w:topLinePunct w:val="0"/>
        <w:autoSpaceDE/>
        <w:autoSpaceDN/>
        <w:bidi w:val="0"/>
        <w:adjustRightInd w:val="0"/>
        <w:snapToGrid w:val="0"/>
        <w:spacing w:before="0" w:after="0" w:line="360" w:lineRule="auto"/>
        <w:ind w:left="0" w:leftChars="0" w:hanging="10" w:firstLineChars="0"/>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发票作废后该已抵扣的进项税需做转出处理，具体账务处理如下：</w:t>
      </w:r>
    </w:p>
    <w:p>
      <w:pPr>
        <w:pageBreakBefore w:val="0"/>
        <w:widowControl w:val="0"/>
        <w:kinsoku/>
        <w:wordWrap/>
        <w:overflowPunct/>
        <w:topLinePunct w:val="0"/>
        <w:autoSpaceDE/>
        <w:autoSpaceDN/>
        <w:bidi w:val="0"/>
        <w:adjustRightInd w:val="0"/>
        <w:snapToGrid w:val="0"/>
        <w:spacing w:before="0" w:after="0" w:line="360" w:lineRule="auto"/>
        <w:ind w:left="0" w:leftChars="0" w:hanging="10" w:firstLineChars="0"/>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1）发票认证时分录为：</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借：应交税费-应交增值税-进项税</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贷：应交税费-待认证进项税</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2）因发票作废的进项税转出事项不属于该进项税业务用于简易征收、免税及其他不能抵扣事项，因此进项税转出的借方科目为认证时的待认证进项税科目，分录为：</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借：应交税费-待认证进项税</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贷：应交税费-应交增值税-进项税转出</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i w:val="0"/>
          <w:caps w:val="0"/>
          <w:color w:val="333333"/>
          <w:spacing w:val="0"/>
          <w:sz w:val="21"/>
          <w:szCs w:val="21"/>
          <w:shd w:val="clear" w:fill="FFFFFF"/>
          <w:lang w:val="en-US" w:eastAsia="zh-CN"/>
        </w:rPr>
      </w:pPr>
      <w:bookmarkStart w:id="89" w:name="_Toc705"/>
      <w:r>
        <w:rPr>
          <w:rFonts w:hint="eastAsia" w:asciiTheme="minorEastAsia" w:hAnsiTheme="minorEastAsia" w:cstheme="minorEastAsia"/>
          <w:b/>
          <w:bCs/>
          <w:i w:val="0"/>
          <w:caps w:val="0"/>
          <w:color w:val="333333"/>
          <w:spacing w:val="0"/>
          <w:sz w:val="21"/>
          <w:szCs w:val="21"/>
          <w:shd w:val="clear" w:fill="FFFFFF"/>
          <w:lang w:val="en-US" w:eastAsia="zh-CN"/>
        </w:rPr>
        <w:t>3.15 项目2021年3月份转为一般纳税人，现报销的专用发票中有开票日期是2021年1月份的， 是否要做价税分离？</w:t>
      </w:r>
      <w:bookmarkEnd w:id="89"/>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如果</w:t>
      </w:r>
      <w:r>
        <w:rPr>
          <w:rFonts w:hint="eastAsia" w:asciiTheme="minorEastAsia" w:hAnsiTheme="minorEastAsia" w:cstheme="minorEastAsia"/>
          <w:b/>
          <w:bCs/>
          <w:sz w:val="21"/>
          <w:szCs w:val="21"/>
          <w:lang w:val="en-US" w:eastAsia="zh-CN"/>
        </w:rPr>
        <w:t>项目所在分公司（即分公司合并范围）</w:t>
      </w:r>
      <w:r>
        <w:rPr>
          <w:rFonts w:hint="eastAsia" w:asciiTheme="minorEastAsia" w:hAnsiTheme="minorEastAsia" w:cstheme="minorEastAsia"/>
          <w:sz w:val="21"/>
          <w:szCs w:val="21"/>
          <w:lang w:val="en-US" w:eastAsia="zh-CN"/>
        </w:rPr>
        <w:t>一直未取得收入并且前期增值税都是零申报的，可以做价税分离或抵扣进项税，否则不能价税分离或抵扣进项税。</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政策文件：国家税务总局公告2015年第59号《关于纳税人认定或登记为一般纳税人前进项税额抵扣问题的公告》“纳税人自办理税务登记至认定或登记为一般纳税人期间，</w:t>
      </w:r>
      <w:r>
        <w:rPr>
          <w:rFonts w:hint="eastAsia" w:asciiTheme="minorEastAsia" w:hAnsiTheme="minorEastAsia" w:cstheme="minorEastAsia"/>
          <w:color w:val="FF0000"/>
          <w:sz w:val="21"/>
          <w:szCs w:val="21"/>
          <w:lang w:val="en-US" w:eastAsia="zh-CN"/>
        </w:rPr>
        <w:t>未取得生产经营收入，未按照销售额和征收率简易计算应纳税额申报缴纳增值税的</w:t>
      </w:r>
      <w:r>
        <w:rPr>
          <w:rFonts w:hint="eastAsia" w:asciiTheme="minorEastAsia" w:hAnsiTheme="minorEastAsia" w:cstheme="minorEastAsia"/>
          <w:sz w:val="21"/>
          <w:szCs w:val="21"/>
          <w:lang w:val="en-US" w:eastAsia="zh-CN"/>
        </w:rPr>
        <w:t>，其在此期间取得的增值税扣税凭证，可以在认定或登记为一般纳税人后抵扣进项税额”。</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i w:val="0"/>
          <w:caps w:val="0"/>
          <w:color w:val="333333"/>
          <w:spacing w:val="0"/>
          <w:sz w:val="21"/>
          <w:szCs w:val="21"/>
          <w:shd w:val="clear" w:fill="FFFFFF"/>
          <w:lang w:val="en-US" w:eastAsia="zh-CN"/>
        </w:rPr>
      </w:pPr>
      <w:bookmarkStart w:id="90" w:name="_Toc19828"/>
      <w:r>
        <w:rPr>
          <w:rFonts w:hint="eastAsia" w:asciiTheme="minorEastAsia" w:hAnsiTheme="minorEastAsia" w:cstheme="minorEastAsia"/>
          <w:b/>
          <w:bCs/>
          <w:i w:val="0"/>
          <w:caps w:val="0"/>
          <w:color w:val="333333"/>
          <w:spacing w:val="0"/>
          <w:sz w:val="21"/>
          <w:szCs w:val="21"/>
          <w:shd w:val="clear" w:fill="FFFFFF"/>
          <w:lang w:val="en-US" w:eastAsia="zh-CN"/>
        </w:rPr>
        <w:t>3.16 疫情防控期间取得客运免税电子普通发票，是否可以价税分离？</w:t>
      </w:r>
      <w:bookmarkEnd w:id="90"/>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客运发票税率为“免税”字样的，不进行价税分离，见下图</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drawing>
          <wp:inline distT="0" distB="0" distL="114300" distR="114300">
            <wp:extent cx="6291580" cy="3624580"/>
            <wp:effectExtent l="0" t="0" r="13970" b="13970"/>
            <wp:docPr id="35" name="图片 35" descr="1651051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51051447(1)"/>
                    <pic:cNvPicPr>
                      <a:picLocks noChangeAspect="1"/>
                    </pic:cNvPicPr>
                  </pic:nvPicPr>
                  <pic:blipFill>
                    <a:blip r:embed="rId23"/>
                    <a:stretch>
                      <a:fillRect/>
                    </a:stretch>
                  </pic:blipFill>
                  <pic:spPr>
                    <a:xfrm>
                      <a:off x="0" y="0"/>
                      <a:ext cx="6291580" cy="3624580"/>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b/>
          <w:bCs/>
          <w:sz w:val="21"/>
          <w:szCs w:val="21"/>
          <w:lang w:val="en-US" w:eastAsia="zh-CN"/>
        </w:rPr>
        <w:t>相关政策：</w:t>
      </w:r>
      <w:r>
        <w:rPr>
          <w:rFonts w:hint="eastAsia" w:asciiTheme="minorEastAsia" w:hAnsiTheme="minorEastAsia" w:eastAsiaTheme="minorEastAsia" w:cstheme="minorEastAsia"/>
          <w:sz w:val="21"/>
          <w:szCs w:val="21"/>
          <w:lang w:val="en-US" w:eastAsia="zh-CN"/>
        </w:rPr>
        <w:t>根据《国家税务总局关于支持新型冠状病毒感染的肺炎疫情防控有关税收征收管理事项的公告》(国家税务总局公告2020年第4号)第三条规定：纳税人按照《财政部 税务总局关于支持新型冠状病毒感染的肺炎疫情防控有关税收政策的公告》(2020年第8号)适用免征增值税政策的，不得开具增值税专用发票。</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b/>
          <w:bCs/>
          <w:sz w:val="21"/>
          <w:szCs w:val="21"/>
          <w:lang w:val="en-US" w:eastAsia="zh-CN"/>
        </w:rPr>
        <w:t>政策</w:t>
      </w:r>
      <w:r>
        <w:rPr>
          <w:rFonts w:hint="eastAsia" w:asciiTheme="minorEastAsia" w:hAnsiTheme="minorEastAsia" w:eastAsiaTheme="minorEastAsia" w:cstheme="minorEastAsia"/>
          <w:b/>
          <w:bCs/>
          <w:sz w:val="21"/>
          <w:szCs w:val="21"/>
          <w:lang w:val="en-US" w:eastAsia="zh-CN"/>
        </w:rPr>
        <w:t>解读：</w:t>
      </w:r>
      <w:r>
        <w:rPr>
          <w:rFonts w:hint="eastAsia" w:asciiTheme="minorEastAsia" w:hAnsiTheme="minorEastAsia" w:eastAsiaTheme="minorEastAsia" w:cstheme="minorEastAsia"/>
          <w:sz w:val="21"/>
          <w:szCs w:val="21"/>
          <w:lang w:val="en-US" w:eastAsia="zh-CN"/>
        </w:rPr>
        <w:t>不能开具专票，只能开具的是普通发票，自然也就无法抵扣进项税了。</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i w:val="0"/>
          <w:caps w:val="0"/>
          <w:color w:val="333333"/>
          <w:spacing w:val="0"/>
          <w:sz w:val="21"/>
          <w:szCs w:val="21"/>
          <w:shd w:val="clear" w:fill="FFFFFF"/>
          <w:lang w:val="en-US" w:eastAsia="zh-CN"/>
        </w:rPr>
      </w:pPr>
      <w:bookmarkStart w:id="91" w:name="_Toc5385"/>
      <w:r>
        <w:rPr>
          <w:rFonts w:hint="eastAsia" w:asciiTheme="minorEastAsia" w:hAnsiTheme="minorEastAsia" w:cstheme="minorEastAsia"/>
          <w:b/>
          <w:bCs/>
          <w:i w:val="0"/>
          <w:caps w:val="0"/>
          <w:color w:val="333333"/>
          <w:spacing w:val="0"/>
          <w:sz w:val="21"/>
          <w:szCs w:val="21"/>
          <w:shd w:val="clear" w:fill="FFFFFF"/>
          <w:lang w:val="en-US" w:eastAsia="zh-CN"/>
        </w:rPr>
        <w:t>3.17 疫情期间根据退税政策申请退还的增值税存量留抵税额和增量留抵税额如何进行账务处理？</w:t>
      </w:r>
      <w:bookmarkEnd w:id="91"/>
    </w:p>
    <w:p>
      <w:pPr>
        <w:pageBreakBefore w:val="0"/>
        <w:kinsoku/>
        <w:wordWrap/>
        <w:overflowPunct/>
        <w:topLinePunct w:val="0"/>
        <w:autoSpaceDE/>
        <w:autoSpaceDN/>
        <w:bidi w:val="0"/>
        <w:spacing w:line="360" w:lineRule="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留抵税额的退还不属于政府补助范畴，因此不作为“其他收益-与企业日常活动相关的政府补助”核算，分两步核算：</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1）收到退回款时，机关账套分录为：</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借：1002</w:t>
      </w:r>
    </w:p>
    <w:p>
      <w:pPr>
        <w:pageBreakBefore w:val="0"/>
        <w:widowControl w:val="0"/>
        <w:kinsoku/>
        <w:wordWrap/>
        <w:overflowPunct/>
        <w:topLinePunct w:val="0"/>
        <w:autoSpaceDE/>
        <w:autoSpaceDN/>
        <w:bidi w:val="0"/>
        <w:adjustRightInd w:val="0"/>
        <w:snapToGrid w:val="0"/>
        <w:spacing w:before="0" w:after="0" w:line="360" w:lineRule="auto"/>
        <w:ind w:firstLine="210" w:firstLineChars="100"/>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贷：2221.19.01.02 未交增值税</w:t>
      </w:r>
    </w:p>
    <w:p>
      <w:pPr>
        <w:pageBreakBefore w:val="0"/>
        <w:widowControl w:val="0"/>
        <w:numPr>
          <w:ilvl w:val="0"/>
          <w:numId w:val="7"/>
        </w:numPr>
        <w:kinsoku/>
        <w:wordWrap/>
        <w:overflowPunct/>
        <w:topLinePunct w:val="0"/>
        <w:autoSpaceDE/>
        <w:autoSpaceDN/>
        <w:bidi w:val="0"/>
        <w:adjustRightInd w:val="0"/>
        <w:snapToGrid w:val="0"/>
        <w:spacing w:before="0" w:after="0" w:line="360" w:lineRule="auto"/>
        <w:ind w:left="0" w:leftChars="0" w:firstLine="0" w:firstLineChars="0"/>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同时转出多交增值税分录：</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ind w:leftChars="0"/>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借：2221.19.01.02 未交增值税</w:t>
      </w:r>
    </w:p>
    <w:p>
      <w:pPr>
        <w:pageBreakBefore w:val="0"/>
        <w:widowControl w:val="0"/>
        <w:numPr>
          <w:ilvl w:val="0"/>
          <w:numId w:val="0"/>
        </w:numPr>
        <w:kinsoku/>
        <w:wordWrap/>
        <w:overflowPunct/>
        <w:topLinePunct w:val="0"/>
        <w:autoSpaceDE/>
        <w:autoSpaceDN/>
        <w:bidi w:val="0"/>
        <w:adjustRightInd w:val="0"/>
        <w:snapToGrid w:val="0"/>
        <w:spacing w:before="0" w:after="0" w:line="360" w:lineRule="auto"/>
        <w:ind w:leftChars="0" w:firstLine="210" w:firstLineChars="100"/>
        <w:textAlignment w:val="auto"/>
        <w:outlineLvl w:val="9"/>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t>贷：2221.19.01.01.08应交增值税(转出多交增值税)</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相关政策：</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《国家税务总局关于进一步加大增值税期末留抵退税政策实施力度有关征管事项的公告》（2022年第4号）</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《财政部税务总局关于进一步加大增值税期末留抵退税政策实施力度的公告》（ 2022年第14号）</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《财政部、税务总局关于进一步加快增值税期末留抵退税政策实施进度的公告》（财政部、税务总局公告2022年第17号）</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eastAsiaTheme="minorEastAsia" w:cstheme="minorEastAsia"/>
          <w:b/>
          <w:bCs/>
          <w:sz w:val="28"/>
          <w:szCs w:val="28"/>
          <w:lang w:val="en-US" w:eastAsia="zh-CN"/>
        </w:rPr>
      </w:pPr>
      <w:bookmarkStart w:id="92" w:name="_Toc13169"/>
      <w:r>
        <w:rPr>
          <w:rFonts w:hint="eastAsia" w:asciiTheme="minorEastAsia" w:hAnsiTheme="minorEastAsia" w:eastAsiaTheme="minorEastAsia" w:cstheme="minorEastAsia"/>
          <w:b/>
          <w:bCs/>
          <w:sz w:val="28"/>
          <w:szCs w:val="28"/>
          <w:lang w:val="en-US" w:eastAsia="zh-CN"/>
        </w:rPr>
        <w:t>4 系统操作类问题</w:t>
      </w:r>
      <w:bookmarkEnd w:id="92"/>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93" w:name="_Toc29600"/>
      <w:bookmarkStart w:id="94" w:name="_Toc29746"/>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sz w:val="21"/>
          <w:szCs w:val="21"/>
        </w:rPr>
        <w:t>同一个账套里，两个银行账户之间的资金调拨，使用付款单还是使用收款单生成凭证？</w:t>
      </w:r>
      <w:bookmarkEnd w:id="93"/>
      <w:bookmarkEnd w:id="94"/>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答：暂统一使用付款单生成凭证。</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95" w:name="_Toc8609"/>
      <w:bookmarkStart w:id="96" w:name="_Toc11190"/>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sz w:val="21"/>
          <w:szCs w:val="21"/>
        </w:rPr>
        <w:t>需要确认函的二期收费，没有确认函已经录入到收费云，若次月3号前收到或未收到确认函的处理？</w:t>
      </w:r>
      <w:bookmarkEnd w:id="95"/>
      <w:bookmarkEnd w:id="96"/>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shd w:val="clear" w:color="auto" w:fill="FFFFFF"/>
        </w:rPr>
      </w:pPr>
      <w:r>
        <w:rPr>
          <w:rFonts w:hint="eastAsia" w:asciiTheme="minorEastAsia" w:hAnsiTheme="minorEastAsia" w:eastAsiaTheme="minorEastAsia" w:cstheme="minorEastAsia"/>
          <w:b/>
          <w:sz w:val="21"/>
          <w:szCs w:val="21"/>
          <w:shd w:val="clear" w:color="auto" w:fill="FFFFFF"/>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val="en-US" w:eastAsia="zh-CN"/>
        </w:rPr>
        <w:t>4.</w:t>
      </w:r>
      <w:r>
        <w:rPr>
          <w:rFonts w:hint="eastAsia" w:asciiTheme="minorEastAsia" w:hAnsiTheme="minorEastAsia" w:cstheme="minorEastAsia"/>
          <w:sz w:val="21"/>
          <w:szCs w:val="21"/>
          <w:shd w:val="clear" w:color="auto" w:fill="FFFFFF"/>
          <w:lang w:val="en-US" w:eastAsia="zh-CN"/>
        </w:rPr>
        <w:t>0</w:t>
      </w:r>
      <w:r>
        <w:rPr>
          <w:rFonts w:hint="eastAsia" w:asciiTheme="minorEastAsia" w:hAnsiTheme="minorEastAsia" w:eastAsiaTheme="minorEastAsia" w:cstheme="minorEastAsia"/>
          <w:sz w:val="21"/>
          <w:szCs w:val="21"/>
          <w:shd w:val="clear" w:color="auto" w:fill="FFFFFF"/>
          <w:lang w:val="en-US" w:eastAsia="zh-CN"/>
        </w:rPr>
        <w:t>2.1 建设单位</w:t>
      </w:r>
      <w:r>
        <w:rPr>
          <w:rFonts w:hint="eastAsia" w:asciiTheme="minorEastAsia" w:hAnsiTheme="minorEastAsia" w:eastAsiaTheme="minorEastAsia" w:cstheme="minorEastAsia"/>
          <w:sz w:val="21"/>
          <w:szCs w:val="21"/>
          <w:shd w:val="clear" w:color="auto" w:fill="FFFFFF"/>
        </w:rPr>
        <w:t>补贴款、</w:t>
      </w:r>
      <w:r>
        <w:rPr>
          <w:rFonts w:hint="eastAsia" w:asciiTheme="minorEastAsia" w:hAnsiTheme="minorEastAsia" w:eastAsiaTheme="minorEastAsia" w:cstheme="minorEastAsia"/>
          <w:sz w:val="21"/>
          <w:szCs w:val="21"/>
          <w:shd w:val="clear" w:color="auto" w:fill="FFFFFF"/>
          <w:lang w:eastAsia="zh-CN"/>
        </w:rPr>
        <w:t>前期</w:t>
      </w:r>
      <w:r>
        <w:rPr>
          <w:rFonts w:hint="eastAsia" w:asciiTheme="minorEastAsia" w:hAnsiTheme="minorEastAsia" w:eastAsiaTheme="minorEastAsia" w:cstheme="minorEastAsia"/>
          <w:sz w:val="21"/>
          <w:szCs w:val="21"/>
          <w:shd w:val="clear" w:color="auto" w:fill="FFFFFF"/>
        </w:rPr>
        <w:t>介入费、空置费</w:t>
      </w:r>
      <w:r>
        <w:rPr>
          <w:rFonts w:hint="eastAsia" w:asciiTheme="minorEastAsia" w:hAnsiTheme="minorEastAsia" w:eastAsiaTheme="minorEastAsia" w:cstheme="minorEastAsia"/>
          <w:sz w:val="21"/>
          <w:szCs w:val="21"/>
          <w:shd w:val="clear" w:color="auto" w:fill="FFFFFF"/>
          <w:lang w:eastAsia="zh-CN"/>
        </w:rPr>
        <w:t>，二期收费云不再推收入及应收计提凭证，共享根据前端提供的确认函确认收入，系统会正常推送收款或预收款凭证；</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shd w:val="clear" w:color="auto" w:fill="FFFFFF"/>
          <w:lang w:eastAsia="zh-CN"/>
        </w:rPr>
      </w:pPr>
      <w:r>
        <w:rPr>
          <w:rFonts w:hint="eastAsia" w:asciiTheme="minorEastAsia" w:hAnsiTheme="minorEastAsia" w:eastAsiaTheme="minorEastAsia" w:cstheme="minorEastAsia"/>
          <w:sz w:val="21"/>
          <w:szCs w:val="21"/>
          <w:shd w:val="clear" w:color="auto" w:fill="FFFFFF"/>
          <w:lang w:val="en-US" w:eastAsia="zh-CN"/>
        </w:rPr>
        <w:t>4.</w:t>
      </w:r>
      <w:r>
        <w:rPr>
          <w:rFonts w:hint="eastAsia" w:asciiTheme="minorEastAsia" w:hAnsiTheme="minorEastAsia" w:cstheme="minorEastAsia"/>
          <w:sz w:val="21"/>
          <w:szCs w:val="21"/>
          <w:shd w:val="clear" w:color="auto" w:fill="FFFFFF"/>
          <w:lang w:val="en-US" w:eastAsia="zh-CN"/>
        </w:rPr>
        <w:t>0</w:t>
      </w:r>
      <w:r>
        <w:rPr>
          <w:rFonts w:hint="eastAsia" w:asciiTheme="minorEastAsia" w:hAnsiTheme="minorEastAsia" w:eastAsiaTheme="minorEastAsia" w:cstheme="minorEastAsia"/>
          <w:sz w:val="21"/>
          <w:szCs w:val="21"/>
          <w:shd w:val="clear" w:color="auto" w:fill="FFFFFF"/>
          <w:lang w:val="en-US" w:eastAsia="zh-CN"/>
        </w:rPr>
        <w:t xml:space="preserve">2.2 </w:t>
      </w:r>
      <w:r>
        <w:rPr>
          <w:rFonts w:hint="eastAsia" w:asciiTheme="minorEastAsia" w:hAnsiTheme="minorEastAsia" w:eastAsiaTheme="minorEastAsia" w:cstheme="minorEastAsia"/>
          <w:sz w:val="21"/>
          <w:szCs w:val="21"/>
          <w:shd w:val="clear" w:color="auto" w:fill="FFFFFF"/>
          <w:lang w:eastAsia="zh-CN"/>
        </w:rPr>
        <w:t>物业管理费（单一产权）、售楼处服务费/案场服务费由收费云推送收入及应收计提凭证，不需要确认函。</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97" w:name="_Toc23870"/>
      <w:bookmarkStart w:id="98" w:name="_Toc28350"/>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sz w:val="21"/>
          <w:szCs w:val="21"/>
        </w:rPr>
        <w:t>机关代管理处支付笔数太多，一笔支付金额对应N多个管理处，如果通过付款单生成凭证需要拆分到各个管理处，很麻烦且容易出错，是否有更好的办法？</w:t>
      </w:r>
      <w:bookmarkEnd w:id="97"/>
      <w:bookmarkEnd w:id="98"/>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答：</w:t>
      </w:r>
      <w:r>
        <w:rPr>
          <w:rFonts w:hint="eastAsia" w:asciiTheme="minorEastAsia" w:hAnsiTheme="minorEastAsia" w:eastAsiaTheme="minorEastAsia" w:cstheme="minorEastAsia"/>
          <w:sz w:val="21"/>
          <w:szCs w:val="21"/>
        </w:rPr>
        <w:t>经统计，目前这类需要分摊到N多管理处的，主要是工资、社保、公积金这类付款单的分摊处理。</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暂时没有更好的办法，先按之前的账务处理操作。总账组这边会根据经常发生的业务制作标准导入模版，待完成后会下发使用</w:t>
      </w:r>
    </w:p>
    <w:p>
      <w:pPr>
        <w:pStyle w:val="2"/>
        <w:pageBreakBefore w:val="0"/>
        <w:kinsoku/>
        <w:wordWrap/>
        <w:overflowPunct/>
        <w:topLinePunct w:val="0"/>
        <w:autoSpaceDE/>
        <w:autoSpaceDN/>
        <w:bidi w:val="0"/>
        <w:adjustRightInd w:val="0"/>
        <w:snapToGrid w:val="0"/>
        <w:spacing w:before="0" w:after="0" w:line="360" w:lineRule="auto"/>
        <w:textAlignment w:val="auto"/>
        <w:rPr>
          <w:rFonts w:hint="default" w:asciiTheme="minorEastAsia" w:hAnsiTheme="minorEastAsia" w:eastAsiaTheme="minorEastAsia" w:cstheme="minorEastAsia"/>
          <w:sz w:val="21"/>
          <w:szCs w:val="21"/>
          <w:lang w:val="en-US" w:eastAsia="zh-CN"/>
        </w:rPr>
      </w:pPr>
      <w:bookmarkStart w:id="99" w:name="_Toc4507"/>
      <w:bookmarkStart w:id="100" w:name="_Toc9240"/>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4 </w:t>
      </w:r>
      <w:r>
        <w:rPr>
          <w:rFonts w:hint="eastAsia" w:asciiTheme="minorEastAsia" w:hAnsiTheme="minorEastAsia" w:eastAsiaTheme="minorEastAsia" w:cstheme="minorEastAsia"/>
          <w:sz w:val="21"/>
          <w:szCs w:val="21"/>
        </w:rPr>
        <w:t>代收代付水电费，如果收到普票，需要把进项转到主营业务成本，这种情况通过费用报销单自动生成的凭证是错误的，需要手工修改，是否有更好的办法。</w:t>
      </w:r>
      <w:bookmarkEnd w:id="99"/>
      <w:bookmarkEnd w:id="100"/>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答：</w:t>
      </w:r>
      <w:r>
        <w:rPr>
          <w:rFonts w:hint="eastAsia" w:asciiTheme="minorEastAsia" w:hAnsiTheme="minorEastAsia" w:eastAsiaTheme="minorEastAsia" w:cstheme="minorEastAsia"/>
          <w:sz w:val="21"/>
          <w:szCs w:val="21"/>
        </w:rPr>
        <w:t>处理方法：①</w:t>
      </w:r>
      <w:r>
        <w:rPr>
          <w:rFonts w:hint="eastAsia" w:asciiTheme="minorEastAsia" w:hAnsiTheme="minorEastAsia" w:cstheme="minorEastAsia"/>
          <w:sz w:val="21"/>
          <w:szCs w:val="21"/>
          <w:lang w:eastAsia="zh-CN"/>
        </w:rPr>
        <w:t>第一步通过代收代付项目费用类型报销</w:t>
      </w:r>
      <w:r>
        <w:rPr>
          <w:rFonts w:hint="eastAsia" w:asciiTheme="minorEastAsia" w:hAnsiTheme="minorEastAsia" w:eastAsiaTheme="minorEastAsia" w:cstheme="minorEastAsia"/>
          <w:sz w:val="21"/>
          <w:szCs w:val="21"/>
        </w:rPr>
        <w:t>；②</w:t>
      </w:r>
      <w:r>
        <w:rPr>
          <w:rFonts w:hint="eastAsia" w:asciiTheme="minorEastAsia" w:hAnsiTheme="minorEastAsia" w:cstheme="minorEastAsia"/>
          <w:sz w:val="21"/>
          <w:szCs w:val="21"/>
          <w:lang w:eastAsia="zh-CN"/>
        </w:rPr>
        <w:t>第二步通过报销单补计提普通发票税金部分的公共能耗费</w:t>
      </w:r>
      <w:r>
        <w:rPr>
          <w:rFonts w:hint="eastAsia" w:asciiTheme="minorEastAsia" w:hAnsiTheme="minorEastAsia" w:eastAsiaTheme="minorEastAsia" w:cstheme="minorEastAsia"/>
          <w:sz w:val="21"/>
          <w:szCs w:val="21"/>
        </w:rPr>
        <w:t>。</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01" w:name="_Toc9818"/>
      <w:bookmarkStart w:id="102" w:name="_Toc5929"/>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5 </w:t>
      </w:r>
      <w:r>
        <w:rPr>
          <w:rFonts w:hint="eastAsia" w:asciiTheme="minorEastAsia" w:hAnsiTheme="minorEastAsia" w:eastAsiaTheme="minorEastAsia" w:cstheme="minorEastAsia"/>
          <w:sz w:val="21"/>
          <w:szCs w:val="21"/>
        </w:rPr>
        <w:t>关于三期上线后，发现前期账务处理错误，是否能通过直接调整总账进行更正？</w:t>
      </w:r>
      <w:bookmarkEnd w:id="101"/>
      <w:bookmarkEnd w:id="102"/>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答：</w:t>
      </w:r>
      <w:r>
        <w:rPr>
          <w:rFonts w:hint="eastAsia" w:asciiTheme="minorEastAsia" w:hAnsiTheme="minorEastAsia" w:eastAsiaTheme="minorEastAsia" w:cstheme="minorEastAsia"/>
          <w:sz w:val="21"/>
          <w:szCs w:val="21"/>
        </w:rPr>
        <w:t>不可以，因为三期上线时供应商期初金额与总账的供应商期初金额是一致的，在每期系统结账前，应收应付系统须先与总账进行对账，应收应付系统的数据都是由三期推送过来的，因此凡涉及三期应付账款的，都只能由三期前端进行调整。</w:t>
      </w:r>
    </w:p>
    <w:p>
      <w:pPr>
        <w:pStyle w:val="2"/>
        <w:pageBreakBefore w:val="0"/>
        <w:widowControl w:val="0"/>
        <w:numPr>
          <w:ilvl w:val="0"/>
          <w:numId w:val="0"/>
        </w:numPr>
        <w:shd w:val="clear"/>
        <w:kinsoku/>
        <w:wordWrap/>
        <w:overflowPunct/>
        <w:topLinePunct w:val="0"/>
        <w:autoSpaceDE/>
        <w:autoSpaceDN/>
        <w:bidi w:val="0"/>
        <w:adjustRightInd w:val="0"/>
        <w:snapToGrid w:val="0"/>
        <w:spacing w:before="0" w:after="0" w:line="360" w:lineRule="auto"/>
        <w:textAlignment w:val="auto"/>
        <w:rPr>
          <w:rFonts w:hint="default" w:asciiTheme="minorEastAsia" w:hAnsiTheme="minorEastAsia" w:eastAsiaTheme="minorEastAsia" w:cstheme="minorEastAsia"/>
          <w:sz w:val="21"/>
          <w:szCs w:val="21"/>
          <w:lang w:val="en-US" w:eastAsia="zh-CN"/>
        </w:rPr>
      </w:pPr>
      <w:bookmarkStart w:id="103" w:name="_Toc1237"/>
      <w:bookmarkStart w:id="104" w:name="_Toc6477"/>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6 </w:t>
      </w:r>
      <w:r>
        <w:rPr>
          <w:rFonts w:hint="eastAsia" w:asciiTheme="minorEastAsia" w:hAnsiTheme="minorEastAsia" w:eastAsiaTheme="minorEastAsia" w:cstheme="minorEastAsia"/>
          <w:sz w:val="21"/>
          <w:szCs w:val="21"/>
        </w:rPr>
        <w:t>天津职能部门报销招标费，收到对方开具集团抬头的普票，可以在天津分报销</w:t>
      </w:r>
      <w:r>
        <w:rPr>
          <w:rFonts w:hint="eastAsia" w:asciiTheme="minorEastAsia" w:hAnsiTheme="minorEastAsia" w:cstheme="minorEastAsia"/>
          <w:sz w:val="21"/>
          <w:szCs w:val="21"/>
          <w:lang w:eastAsia="zh-CN"/>
        </w:rPr>
        <w:t>吗</w:t>
      </w:r>
      <w:r>
        <w:rPr>
          <w:rFonts w:hint="eastAsia" w:asciiTheme="minorEastAsia" w:hAnsiTheme="minorEastAsia" w:eastAsiaTheme="minorEastAsia" w:cstheme="minorEastAsia"/>
          <w:sz w:val="21"/>
          <w:szCs w:val="21"/>
        </w:rPr>
        <w:t>？如果是专票，可以在天津分报销</w:t>
      </w:r>
      <w:r>
        <w:rPr>
          <w:rFonts w:hint="eastAsia" w:asciiTheme="minorEastAsia" w:hAnsiTheme="minorEastAsia" w:cstheme="minorEastAsia"/>
          <w:sz w:val="21"/>
          <w:szCs w:val="21"/>
          <w:lang w:eastAsia="zh-CN"/>
        </w:rPr>
        <w:t>吗</w:t>
      </w:r>
      <w:r>
        <w:rPr>
          <w:rFonts w:hint="eastAsia" w:asciiTheme="minorEastAsia" w:hAnsiTheme="minorEastAsia" w:eastAsiaTheme="minorEastAsia" w:cstheme="minorEastAsia"/>
          <w:sz w:val="21"/>
          <w:szCs w:val="21"/>
        </w:rPr>
        <w:t>？如不可以，该怎么处理？</w:t>
      </w:r>
      <w:bookmarkEnd w:id="103"/>
      <w:bookmarkEnd w:id="104"/>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bookmarkStart w:id="105" w:name="_Toc21516"/>
      <w:r>
        <w:rPr>
          <w:rFonts w:hint="eastAsia" w:asciiTheme="minorEastAsia" w:hAnsiTheme="minorEastAsia" w:eastAsiaTheme="minorEastAsia" w:cstheme="minorEastAsia"/>
          <w:sz w:val="21"/>
          <w:szCs w:val="21"/>
        </w:rPr>
        <w:t>针对招标费（仅此一例）存在特殊性，</w:t>
      </w:r>
      <w:r>
        <w:rPr>
          <w:rFonts w:hint="eastAsia" w:asciiTheme="minorEastAsia" w:hAnsiTheme="minorEastAsia" w:cstheme="minorEastAsia"/>
          <w:sz w:val="21"/>
          <w:szCs w:val="21"/>
          <w:lang w:eastAsia="zh-CN"/>
        </w:rPr>
        <w:t>根据借款所在账套及发票类型分</w:t>
      </w:r>
      <w:r>
        <w:rPr>
          <w:rFonts w:hint="eastAsia" w:asciiTheme="minorEastAsia" w:hAnsiTheme="minorEastAsia" w:eastAsiaTheme="minorEastAsia" w:cstheme="minorEastAsia"/>
          <w:sz w:val="21"/>
          <w:szCs w:val="21"/>
        </w:rPr>
        <w:t>情况处理：</w:t>
      </w:r>
    </w:p>
    <w:p>
      <w:pPr>
        <w:pageBreakBefore w:val="0"/>
        <w:widowControl w:val="0"/>
        <w:numPr>
          <w:ilvl w:val="0"/>
          <w:numId w:val="8"/>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取得的普票，分两种情况处理：</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val="en-US" w:eastAsia="zh-CN"/>
        </w:rPr>
        <w:t>1）原借款</w:t>
      </w:r>
      <w:r>
        <w:rPr>
          <w:rFonts w:hint="eastAsia" w:asciiTheme="minorEastAsia" w:hAnsiTheme="minorEastAsia" w:cstheme="minorEastAsia"/>
          <w:sz w:val="21"/>
          <w:szCs w:val="21"/>
          <w:lang w:eastAsia="zh-CN"/>
        </w:rPr>
        <w:t>在总部的，由总部发起报销流程，通过总账核算单把成本调整至分公司；</w:t>
      </w:r>
    </w:p>
    <w:p>
      <w:pPr>
        <w:pageBreakBefore w:val="0"/>
        <w:widowControl w:val="0"/>
        <w:numPr>
          <w:ilvl w:val="0"/>
          <w:numId w:val="0"/>
        </w:numPr>
        <w:kinsoku/>
        <w:wordWrap/>
        <w:overflowPunct/>
        <w:topLinePunct w:val="0"/>
        <w:autoSpaceDE/>
        <w:autoSpaceDN/>
        <w:bidi w:val="0"/>
        <w:spacing w:line="360" w:lineRule="auto"/>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w:t>
      </w:r>
      <w:r>
        <w:rPr>
          <w:rFonts w:hint="eastAsia" w:asciiTheme="minorEastAsia" w:hAnsiTheme="minorEastAsia" w:cstheme="minorEastAsia"/>
          <w:sz w:val="21"/>
          <w:szCs w:val="21"/>
          <w:lang w:eastAsia="zh-CN"/>
        </w:rPr>
        <w:t>原借款在分公司的，可以直接在分公司发起报销流程。</w:t>
      </w:r>
    </w:p>
    <w:p>
      <w:pPr>
        <w:pageBreakBefore w:val="0"/>
        <w:widowControl w:val="0"/>
        <w:numPr>
          <w:ilvl w:val="0"/>
          <w:numId w:val="8"/>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取得的专票，分两种情况处理：</w:t>
      </w:r>
    </w:p>
    <w:p>
      <w:pPr>
        <w:pageBreakBefore w:val="0"/>
        <w:widowControl w:val="0"/>
        <w:numPr>
          <w:ilvl w:val="0"/>
          <w:numId w:val="0"/>
        </w:numPr>
        <w:kinsoku/>
        <w:wordWrap/>
        <w:overflowPunct/>
        <w:topLinePunct w:val="0"/>
        <w:autoSpaceDE/>
        <w:autoSpaceDN/>
        <w:bidi w:val="0"/>
        <w:spacing w:line="360" w:lineRule="auto"/>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进项税抵扣原则：只能在发起报销组织抵扣，如果发票抬头与报销组织不一致的，不可以抵扣。</w:t>
      </w:r>
    </w:p>
    <w:p>
      <w:pPr>
        <w:pageBreakBefore w:val="0"/>
        <w:widowControl w:val="0"/>
        <w:numPr>
          <w:ilvl w:val="0"/>
          <w:numId w:val="9"/>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val="en-US" w:eastAsia="zh-CN"/>
        </w:rPr>
        <w:t>原借款</w:t>
      </w:r>
      <w:r>
        <w:rPr>
          <w:rFonts w:hint="eastAsia" w:asciiTheme="minorEastAsia" w:hAnsiTheme="minorEastAsia" w:cstheme="minorEastAsia"/>
          <w:sz w:val="21"/>
          <w:szCs w:val="21"/>
          <w:lang w:eastAsia="zh-CN"/>
        </w:rPr>
        <w:t>在总部的，由总部发起报销流程，</w:t>
      </w:r>
      <w:r>
        <w:rPr>
          <w:rFonts w:hint="eastAsia" w:asciiTheme="minorEastAsia" w:hAnsiTheme="minorEastAsia" w:cstheme="minorEastAsia"/>
          <w:sz w:val="21"/>
          <w:szCs w:val="21"/>
          <w:lang w:val="en-US" w:eastAsia="zh-CN"/>
        </w:rPr>
        <w:t>总部抵扣进项税</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再</w:t>
      </w:r>
      <w:r>
        <w:rPr>
          <w:rFonts w:hint="eastAsia" w:asciiTheme="minorEastAsia" w:hAnsiTheme="minorEastAsia" w:cstheme="minorEastAsia"/>
          <w:sz w:val="21"/>
          <w:szCs w:val="21"/>
          <w:lang w:eastAsia="zh-CN"/>
        </w:rPr>
        <w:t>通过总账核算单把不含税成本调整至分公司，分录如下</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分公司：</w:t>
      </w:r>
    </w:p>
    <w:p>
      <w:pPr>
        <w:pageBreakBefore w:val="0"/>
        <w:widowControl w:val="0"/>
        <w:numPr>
          <w:ilvl w:val="0"/>
          <w:numId w:val="0"/>
        </w:numPr>
        <w:kinsoku/>
        <w:wordWrap/>
        <w:overflowPunct/>
        <w:topLinePunct w:val="0"/>
        <w:autoSpaceDE/>
        <w:autoSpaceDN/>
        <w:bidi w:val="0"/>
        <w:spacing w:line="360" w:lineRule="auto"/>
        <w:ind w:firstLine="630" w:firstLineChars="300"/>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eastAsia="zh-CN"/>
        </w:rPr>
        <w:t>借：</w:t>
      </w:r>
      <w:r>
        <w:rPr>
          <w:rFonts w:hint="eastAsia" w:asciiTheme="minorEastAsia" w:hAnsiTheme="minorEastAsia" w:cstheme="minorEastAsia"/>
          <w:sz w:val="21"/>
          <w:szCs w:val="21"/>
          <w:lang w:val="en-US" w:eastAsia="zh-CN"/>
        </w:rPr>
        <w:t>8601.02销售费用-招标费   ###</w:t>
      </w:r>
    </w:p>
    <w:p>
      <w:pPr>
        <w:pageBreakBefore w:val="0"/>
        <w:widowControl w:val="0"/>
        <w:numPr>
          <w:ilvl w:val="0"/>
          <w:numId w:val="0"/>
        </w:numPr>
        <w:kinsoku/>
        <w:wordWrap/>
        <w:overflowPunct/>
        <w:topLinePunct w:val="0"/>
        <w:autoSpaceDE/>
        <w:autoSpaceDN/>
        <w:bidi w:val="0"/>
        <w:spacing w:line="360" w:lineRule="auto"/>
        <w:ind w:firstLine="630" w:firstLineChars="30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贷：</w:t>
      </w:r>
      <w:r>
        <w:rPr>
          <w:rFonts w:hint="eastAsia" w:asciiTheme="minorEastAsia" w:hAnsiTheme="minorEastAsia" w:cstheme="minorEastAsia"/>
          <w:sz w:val="21"/>
          <w:szCs w:val="21"/>
          <w:lang w:eastAsia="zh-CN"/>
        </w:rPr>
        <w:t>内部往来</w:t>
      </w:r>
      <w:r>
        <w:rPr>
          <w:rFonts w:hint="eastAsia" w:asciiTheme="minorEastAsia" w:hAnsiTheme="minorEastAsia" w:cstheme="minorEastAsia"/>
          <w:sz w:val="21"/>
          <w:szCs w:val="21"/>
          <w:lang w:val="en-US" w:eastAsia="zh-CN"/>
        </w:rPr>
        <w:t xml:space="preserve">-总部           ###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总部：</w:t>
      </w:r>
    </w:p>
    <w:p>
      <w:pPr>
        <w:pageBreakBefore w:val="0"/>
        <w:widowControl w:val="0"/>
        <w:numPr>
          <w:ilvl w:val="0"/>
          <w:numId w:val="0"/>
        </w:numPr>
        <w:kinsoku/>
        <w:wordWrap/>
        <w:overflowPunct/>
        <w:topLinePunct w:val="0"/>
        <w:autoSpaceDE/>
        <w:autoSpaceDN/>
        <w:bidi w:val="0"/>
        <w:spacing w:line="360" w:lineRule="auto"/>
        <w:ind w:firstLine="630" w:firstLineChars="30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借：内部往来-分公司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 xml:space="preserve">      借：8601.02销售费用-招标费  -###（负数）</w:t>
      </w:r>
    </w:p>
    <w:p>
      <w:pPr>
        <w:pageBreakBefore w:val="0"/>
        <w:widowControl w:val="0"/>
        <w:numPr>
          <w:ilvl w:val="0"/>
          <w:numId w:val="9"/>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eastAsia="zh-CN"/>
        </w:rPr>
        <w:t>原借款在分公司的，由分公司提交</w:t>
      </w:r>
      <w:r>
        <w:rPr>
          <w:rFonts w:hint="eastAsia" w:asciiTheme="minorEastAsia" w:hAnsiTheme="minorEastAsia" w:cstheme="minorEastAsia"/>
          <w:sz w:val="21"/>
          <w:szCs w:val="21"/>
          <w:lang w:val="en-US" w:eastAsia="zh-CN"/>
        </w:rPr>
        <w:t>OA报备后，在分公司</w:t>
      </w:r>
      <w:r>
        <w:rPr>
          <w:rFonts w:hint="eastAsia" w:asciiTheme="minorEastAsia" w:hAnsiTheme="minorEastAsia" w:cstheme="minorEastAsia"/>
          <w:sz w:val="21"/>
          <w:szCs w:val="21"/>
          <w:lang w:eastAsia="zh-CN"/>
        </w:rPr>
        <w:t>发起报销并冲原借款，报销发票类型选“非增值税专用发票/无需发票”，</w:t>
      </w:r>
      <w:r>
        <w:rPr>
          <w:rFonts w:hint="eastAsia" w:asciiTheme="minorEastAsia" w:hAnsiTheme="minorEastAsia" w:cstheme="minorEastAsia"/>
          <w:color w:val="FF0000"/>
          <w:sz w:val="21"/>
          <w:szCs w:val="21"/>
          <w:lang w:eastAsia="zh-CN"/>
        </w:rPr>
        <w:t>报销金额为含税金额，</w:t>
      </w:r>
      <w:r>
        <w:rPr>
          <w:rFonts w:hint="eastAsia" w:asciiTheme="minorEastAsia" w:hAnsiTheme="minorEastAsia" w:cstheme="minorEastAsia"/>
          <w:color w:val="FF0000"/>
          <w:sz w:val="21"/>
          <w:szCs w:val="21"/>
          <w:lang w:val="en-US" w:eastAsia="zh-CN"/>
        </w:rPr>
        <w:t>增值税不可以抵扣</w:t>
      </w:r>
      <w:r>
        <w:rPr>
          <w:rFonts w:hint="eastAsia" w:asciiTheme="minorEastAsia" w:hAnsiTheme="minorEastAsia" w:cstheme="minorEastAsia"/>
          <w:sz w:val="21"/>
          <w:szCs w:val="21"/>
          <w:lang w:val="en-US" w:eastAsia="zh-CN"/>
        </w:rPr>
        <w:t>。</w:t>
      </w:r>
    </w:p>
    <w:p>
      <w:pPr>
        <w:pageBreakBefore w:val="0"/>
        <w:widowControl w:val="0"/>
        <w:numPr>
          <w:ilvl w:val="0"/>
          <w:numId w:val="9"/>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eastAsia="zh-CN"/>
        </w:rPr>
      </w:pPr>
      <w:r>
        <w:rPr>
          <w:rFonts w:hint="eastAsia" w:asciiTheme="minorEastAsia" w:hAnsiTheme="minorEastAsia" w:cstheme="minorEastAsia"/>
          <w:sz w:val="21"/>
          <w:szCs w:val="21"/>
          <w:lang w:val="en-US" w:eastAsia="zh-CN"/>
        </w:rPr>
        <w:t>原借款在分公司的，也可以将发票寄总部由总部报销（需事先与总部负责报销的人员沟通好），</w:t>
      </w:r>
      <w:r>
        <w:rPr>
          <w:rFonts w:hint="eastAsia" w:asciiTheme="minorEastAsia" w:hAnsiTheme="minorEastAsia" w:cstheme="minorEastAsia"/>
          <w:color w:val="FF0000"/>
          <w:sz w:val="21"/>
          <w:szCs w:val="21"/>
          <w:lang w:val="en-US" w:eastAsia="zh-CN"/>
        </w:rPr>
        <w:t>总部抵扣进项税</w:t>
      </w:r>
      <w:r>
        <w:rPr>
          <w:rFonts w:hint="eastAsia" w:asciiTheme="minorEastAsia" w:hAnsiTheme="minorEastAsia" w:cstheme="minorEastAsia"/>
          <w:sz w:val="21"/>
          <w:szCs w:val="21"/>
          <w:lang w:val="en-US" w:eastAsia="zh-CN"/>
        </w:rPr>
        <w:t>，再通过总账核算单把不含税成本调至分公司，分录见B、1）,本操作方式下，原分公司在报销系统中的借款单将无法冲销。</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lang w:eastAsia="zh-CN"/>
        </w:rPr>
        <w:t>注意：在借款账套发起报销，是为了冲销系统借款单</w:t>
      </w:r>
      <w:r>
        <w:rPr>
          <w:rFonts w:hint="eastAsia" w:asciiTheme="minorEastAsia" w:hAnsiTheme="minorEastAsia" w:cstheme="minorEastAsia"/>
          <w:sz w:val="21"/>
          <w:szCs w:val="21"/>
          <w:lang w:eastAsia="zh-CN"/>
        </w:rPr>
        <w:t>。</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06" w:name="_Toc713"/>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7 </w:t>
      </w:r>
      <w:r>
        <w:rPr>
          <w:rFonts w:hint="eastAsia" w:asciiTheme="minorEastAsia" w:hAnsiTheme="minorEastAsia" w:eastAsiaTheme="minorEastAsia" w:cstheme="minorEastAsia"/>
          <w:sz w:val="21"/>
          <w:szCs w:val="21"/>
        </w:rPr>
        <w:t>税控盘维护年费，在一期报销单选哪个费用类型合适？</w:t>
      </w:r>
      <w:bookmarkEnd w:id="105"/>
      <w:bookmarkEnd w:id="106"/>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维护年费是对应的费用类型选“办公设备维护费”，不同的业务板块和职能部门选择对应的明细费用类型。</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107" w:name="_Toc279"/>
      <w:bookmarkStart w:id="108" w:name="_Toc12492"/>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8 审核三期应单时发现费用项目名称与对方科目内容不一致怎么处理？</w:t>
      </w:r>
      <w:bookmarkEnd w:id="107"/>
      <w:bookmarkEnd w:id="108"/>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三期费用项目的对方科目一般为成本费用科目或资产科目，即我公司所购买的该费用项目的具体内容，一般情况对方科目与费用项目名称一致，当发现不一致时，有两个可能性：1、科目映射错误；2、对该费用项目的对方科目映射进行了维护，而该业务单据是在变更维护前提交，因此带出的还是旧的科目。</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审单发现不一致时，应第一时间与总账组沟通，总账组给出处理意见。</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109" w:name="_Toc4848"/>
      <w:bookmarkStart w:id="110" w:name="_Toc30930"/>
      <w:r>
        <w:rPr>
          <w:rFonts w:hint="eastAsia" w:asciiTheme="minorEastAsia" w:hAnsiTheme="minorEastAsia" w:eastAsiaTheme="minorEastAsia" w:cstheme="minorEastAsia"/>
          <w:sz w:val="21"/>
          <w:szCs w:val="21"/>
          <w:lang w:val="en-US" w:eastAsia="zh-CN"/>
        </w:rPr>
        <w:t>4.</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9 关于收到保险理赔，再支付给业主的操作</w:t>
      </w:r>
      <w:bookmarkEnd w:id="109"/>
      <w:bookmarkEnd w:id="110"/>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从业务性质来讲，本公司收到保险公司的款项，属于代收。支付给小业主，属于代付。两者属于同一事项，但属于不同对象。</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而退款则要求均为同一主体，同一事项。举例，业主甲1月1日缴纳了一整年的物业费，50000元，1月10日业主甲发现之前多输了一个0，要求退还45000元，这种才是退。即退款的对象、退款事项是同一个。为了防止舞弊，有些公司要求退款必须是原路退回。因此先收保险公司款，再支付给小业主不符合退款的定义。</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已和资金部张凌总、收费云系统负责人小强哥沟通，对代收付保险理赔做以下规定:</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收到保险公司款录入收费云系统。</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支付给业主，使用一期报销系统进行付款。</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111" w:name="_Toc11721"/>
      <w:bookmarkStart w:id="112" w:name="_Toc13890"/>
      <w:r>
        <w:rPr>
          <w:rFonts w:hint="eastAsia" w:asciiTheme="minorEastAsia" w:hAnsiTheme="minorEastAsia" w:eastAsiaTheme="minorEastAsia" w:cstheme="minorEastAsia"/>
          <w:sz w:val="21"/>
          <w:szCs w:val="21"/>
          <w:lang w:val="en-US" w:eastAsia="zh-CN"/>
        </w:rPr>
        <w:t>4.10 大区职能部门取得的社商收入，有收款单，但无法录入收费云系统，如何进行账务处理？</w:t>
      </w:r>
      <w:bookmarkEnd w:id="111"/>
      <w:bookmarkEnd w:id="112"/>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考虑到机关账套未上线共享二期，收到款项时，出纳应将收款单导入EAS系统，账务处理计入“其他应付款-未确认收款”。再走总账调整单，将“其他应付款-未确认收款”调整计入当期收入。</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如果收款单导入EAS系统较早，且提交调整比较及时，当月收款、当月确认收入应该没问题。</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eastAsia" w:asciiTheme="minorEastAsia" w:hAnsiTheme="minorEastAsia" w:eastAsiaTheme="minorEastAsia" w:cstheme="minorEastAsia"/>
          <w:b/>
          <w:bCs/>
          <w:i w:val="0"/>
          <w:caps w:val="0"/>
          <w:color w:val="333333"/>
          <w:spacing w:val="0"/>
          <w:sz w:val="21"/>
          <w:szCs w:val="21"/>
          <w:shd w:val="clear" w:fill="FFFFFF"/>
        </w:rPr>
      </w:pPr>
      <w:bookmarkStart w:id="113" w:name="_Toc9819"/>
      <w:bookmarkStart w:id="114" w:name="_Toc16903"/>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 xml:space="preserve">4.11 </w:t>
      </w:r>
      <w:r>
        <w:rPr>
          <w:rFonts w:hint="eastAsia" w:asciiTheme="minorEastAsia" w:hAnsiTheme="minorEastAsia" w:eastAsiaTheme="minorEastAsia" w:cstheme="minorEastAsia"/>
          <w:b/>
          <w:bCs/>
          <w:i w:val="0"/>
          <w:caps w:val="0"/>
          <w:color w:val="333333"/>
          <w:spacing w:val="0"/>
          <w:sz w:val="21"/>
          <w:szCs w:val="21"/>
          <w:shd w:val="clear" w:fill="FFFFFF"/>
          <w:lang w:eastAsia="zh-CN"/>
        </w:rPr>
        <w:t>关于集团统一采购，大区分别报销，各项目账套分摊费用的账务处理</w:t>
      </w:r>
      <w:bookmarkEnd w:id="113"/>
      <w:bookmarkEnd w:id="114"/>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各分公司会采用费用分割单的形式，将成本划分至各管理处。注意的是：费用分割单不分割税</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即增值税全额留在机关账套上，不含税的成本才分摊至管理处。</w:t>
      </w:r>
      <w:r>
        <w:rPr>
          <w:rFonts w:hint="eastAsia" w:asciiTheme="minorEastAsia" w:hAnsiTheme="minorEastAsia" w:eastAsiaTheme="minorEastAsia" w:cstheme="minorEastAsia"/>
          <w:sz w:val="21"/>
          <w:szCs w:val="21"/>
          <w:lang w:eastAsia="zh-CN"/>
        </w:rPr>
        <w:t>例如</w:t>
      </w:r>
      <w:r>
        <w:rPr>
          <w:rFonts w:hint="eastAsia" w:asciiTheme="minorEastAsia" w:hAnsiTheme="minorEastAsia" w:eastAsiaTheme="minorEastAsia" w:cstheme="minorEastAsia"/>
          <w:sz w:val="21"/>
          <w:szCs w:val="21"/>
        </w:rPr>
        <w:t>集团统一采购人脸识别系统，各大区陆续进行报销</w:t>
      </w:r>
      <w:r>
        <w:rPr>
          <w:rFonts w:hint="eastAsia" w:asciiTheme="minorEastAsia" w:hAnsiTheme="minorEastAsia" w:eastAsiaTheme="minorEastAsia" w:cstheme="minorEastAsia"/>
          <w:sz w:val="21"/>
          <w:szCs w:val="21"/>
          <w:lang w:eastAsia="zh-CN"/>
        </w:rPr>
        <w:t>等业务</w:t>
      </w:r>
      <w:r>
        <w:rPr>
          <w:rFonts w:hint="eastAsia" w:asciiTheme="minorEastAsia" w:hAnsiTheme="minorEastAsia" w:eastAsiaTheme="minorEastAsia" w:cstheme="minorEastAsia"/>
          <w:sz w:val="21"/>
          <w:szCs w:val="21"/>
        </w:rPr>
        <w:t>。</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i w:val="0"/>
          <w:caps w:val="0"/>
          <w:color w:val="333333"/>
          <w:spacing w:val="0"/>
          <w:sz w:val="21"/>
          <w:szCs w:val="21"/>
          <w:shd w:val="clear" w:fill="FFFFFF"/>
          <w:lang w:val="en-US"/>
        </w:rPr>
      </w:pPr>
      <w:bookmarkStart w:id="115" w:name="_Toc13152"/>
      <w:bookmarkStart w:id="116" w:name="_Toc5005"/>
      <w:r>
        <w:rPr>
          <w:rFonts w:hint="eastAsia" w:asciiTheme="minorEastAsia" w:hAnsiTheme="minorEastAsia" w:eastAsiaTheme="minorEastAsia" w:cstheme="minorEastAsia"/>
          <w:b/>
          <w:bCs/>
          <w:sz w:val="21"/>
          <w:szCs w:val="21"/>
          <w:lang w:val="en-US" w:eastAsia="zh-CN"/>
        </w:rPr>
        <w:t xml:space="preserve">4.12 </w:t>
      </w:r>
      <w:r>
        <w:rPr>
          <w:rFonts w:hint="eastAsia" w:asciiTheme="minorEastAsia" w:hAnsiTheme="minorEastAsia" w:eastAsiaTheme="minorEastAsia" w:cstheme="minorEastAsia"/>
          <w:b/>
          <w:bCs/>
          <w:i w:val="0"/>
          <w:caps w:val="0"/>
          <w:color w:val="333333"/>
          <w:spacing w:val="0"/>
          <w:sz w:val="21"/>
          <w:szCs w:val="21"/>
          <w:shd w:val="clear" w:fill="FFFFFF"/>
          <w:lang w:eastAsia="zh-CN"/>
        </w:rPr>
        <w:t>房产费用报销操作指引</w:t>
      </w:r>
      <w:bookmarkEnd w:id="115"/>
      <w:bookmarkEnd w:id="116"/>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答：</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i w:val="0"/>
          <w:iCs w:val="0"/>
          <w:sz w:val="21"/>
          <w:szCs w:val="21"/>
          <w:lang w:eastAsia="zh-CN"/>
        </w:rPr>
      </w:pPr>
      <w:r>
        <w:rPr>
          <w:rFonts w:hint="eastAsia" w:asciiTheme="minorEastAsia" w:hAnsiTheme="minorEastAsia" w:eastAsiaTheme="minorEastAsia" w:cstheme="minorEastAsia"/>
          <w:b w:val="0"/>
          <w:bCs w:val="0"/>
          <w:i w:val="0"/>
          <w:iCs w:val="0"/>
          <w:sz w:val="21"/>
          <w:szCs w:val="21"/>
          <w:lang w:eastAsia="zh-CN"/>
        </w:rPr>
        <w:t>此处房产费用指的是已计入其他非流动资产的房产，转至固定资产时发生的应计入房产价值的费用。计入固定资产</w:t>
      </w:r>
      <w:r>
        <w:rPr>
          <w:rFonts w:hint="eastAsia" w:asciiTheme="minorEastAsia" w:hAnsiTheme="minorEastAsia" w:eastAsiaTheme="minorEastAsia" w:cstheme="minorEastAsia"/>
          <w:b w:val="0"/>
          <w:bCs w:val="0"/>
          <w:i w:val="0"/>
          <w:iCs w:val="0"/>
          <w:sz w:val="21"/>
          <w:szCs w:val="21"/>
          <w:lang w:val="en-US" w:eastAsia="zh-CN"/>
        </w:rPr>
        <w:t>-</w:t>
      </w:r>
      <w:r>
        <w:rPr>
          <w:rFonts w:hint="eastAsia" w:asciiTheme="minorEastAsia" w:hAnsiTheme="minorEastAsia" w:eastAsiaTheme="minorEastAsia" w:cstheme="minorEastAsia"/>
          <w:b w:val="0"/>
          <w:bCs w:val="0"/>
          <w:i w:val="0"/>
          <w:iCs w:val="0"/>
          <w:sz w:val="21"/>
          <w:szCs w:val="21"/>
          <w:lang w:eastAsia="zh-CN"/>
        </w:rPr>
        <w:t>房产的成本，为企业取得该房产达到可预订可使用状态前所发生的一切合理的、必要的支出，包括该项资产的专业人员服务费、支付的相关税费。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eastAsia="zh-CN"/>
        </w:rPr>
        <w:t>固定资产</w:t>
      </w:r>
      <w:r>
        <w:rPr>
          <w:rFonts w:hint="eastAsia" w:asciiTheme="minorEastAsia" w:hAnsiTheme="minorEastAsia" w:eastAsiaTheme="minorEastAsia" w:cstheme="minorEastAsia"/>
          <w:b w:val="0"/>
          <w:bCs w:val="0"/>
          <w:i w:val="0"/>
          <w:iCs w:val="0"/>
          <w:sz w:val="21"/>
          <w:szCs w:val="21"/>
          <w:lang w:val="en-US" w:eastAsia="zh-CN"/>
        </w:rPr>
        <w:t>-房产成本一般包含以下内容：1、房产本身金额；2、契税；3、印花税；4、办公费用（差旅费、交通费等）。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4.12.1房产成本费用的介绍</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A 房产本身金额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本公司取得的固定资产-房产来源主要来自开发商的以房抵款，该金额的确定以双方的协议确定为准。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B 契税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 xml:space="preserve">    契税，由购房者向税务局缴纳的财产转移税，金额以税务局开具的完税证明为准。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3716655" cy="1842135"/>
            <wp:effectExtent l="0" t="0" r="1714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3716655" cy="1842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 印花税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印花税一般与契税同时缴纳，税务局一般在完税证明上同时开具印花税、契税。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D </w:t>
      </w:r>
      <w:r>
        <w:rPr>
          <w:rFonts w:hint="eastAsia" w:asciiTheme="minorEastAsia" w:hAnsiTheme="minorEastAsia" w:eastAsiaTheme="minorEastAsia" w:cstheme="minorEastAsia"/>
          <w:b w:val="0"/>
          <w:bCs w:val="0"/>
          <w:i w:val="0"/>
          <w:iCs w:val="0"/>
          <w:sz w:val="21"/>
          <w:szCs w:val="21"/>
          <w:lang w:val="en-US" w:eastAsia="zh-CN"/>
        </w:rPr>
        <w:t>办公费用（差旅费、交通费等）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这些费用一般金额较小，实际入账可直接作为当期损益进行报销。</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4.12.2报销操作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选择费用类型“WYYY246房产相关费用”，关联借款单、报销单。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4.12.3对应的账务处理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选择该费用类型进行借款，公司转账至员工后：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借：其他应收款-物业管理-个人借款-其他零星借款（职员）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 xml:space="preserve">    贷：应付内部往来/银行存款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员工拿税务局开具的完税凭证进行报销：</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借：其他非流动资产-房产（房产信息）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贷：其他应收款-物业管理-个人借款-其他零星借款（职员）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inorEastAsia" w:hAnsiTheme="minorEastAsia" w:cstheme="minorEastAsia"/>
          <w:b w:val="0"/>
          <w:bCs w:val="0"/>
          <w:i w:val="0"/>
          <w:iCs w:val="0"/>
          <w:sz w:val="21"/>
          <w:szCs w:val="21"/>
          <w:lang w:val="en-US" w:eastAsia="zh-CN"/>
        </w:rPr>
      </w:pPr>
      <w:r>
        <w:rPr>
          <w:rFonts w:hint="eastAsia" w:asciiTheme="minorEastAsia" w:hAnsiTheme="minorEastAsia" w:eastAsiaTheme="minorEastAsia" w:cstheme="minorEastAsia"/>
          <w:b w:val="0"/>
          <w:bCs w:val="0"/>
          <w:i w:val="0"/>
          <w:iCs w:val="0"/>
          <w:sz w:val="21"/>
          <w:szCs w:val="21"/>
          <w:lang w:val="en-US" w:eastAsia="zh-CN"/>
        </w:rPr>
        <w:t>4.12.4</w:t>
      </w:r>
      <w:r>
        <w:rPr>
          <w:rFonts w:hint="eastAsia" w:asciiTheme="minorEastAsia" w:hAnsiTheme="minorEastAsia" w:cstheme="minorEastAsia"/>
          <w:b w:val="0"/>
          <w:bCs w:val="0"/>
          <w:i w:val="0"/>
          <w:iCs w:val="0"/>
          <w:sz w:val="21"/>
          <w:szCs w:val="21"/>
          <w:lang w:val="en-US" w:eastAsia="zh-CN"/>
        </w:rPr>
        <w:t>房产过户前的评估费不计入房产原值，计入管理费用。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heme="minorEastAsia" w:hAnsiTheme="minorEastAsia" w:eastAsiaTheme="minorEastAsia" w:cstheme="minorEastAsia"/>
          <w:b w:val="0"/>
          <w:bCs w:val="0"/>
          <w:i w:val="0"/>
          <w:iCs w:val="0"/>
          <w:sz w:val="21"/>
          <w:szCs w:val="21"/>
          <w:lang w:val="en-US" w:eastAsia="zh-CN"/>
        </w:rPr>
      </w:pPr>
      <w:r>
        <w:rPr>
          <w:rFonts w:hint="eastAsia" w:asciiTheme="minorEastAsia" w:hAnsiTheme="minorEastAsia" w:cstheme="minorEastAsia"/>
          <w:b w:val="0"/>
          <w:bCs w:val="0"/>
          <w:i w:val="0"/>
          <w:iCs w:val="0"/>
          <w:sz w:val="21"/>
          <w:szCs w:val="21"/>
          <w:lang w:val="en-US" w:eastAsia="zh-CN"/>
        </w:rPr>
        <w:t>企业会计准则固定资产入账价值规定：“外购固定资产的成本，包括购买价款、相关税费、使固定资产达到预定可使用状态前所发生的可归属于该项资产的运输费、装卸费、安装费和专业人员服务”，评估费不属于固定资产达到预定可使用状态前所发生的必要支出，故不计入固定资产成本。（2020-8-31增加）</w:t>
      </w:r>
      <w:r>
        <w:rPr>
          <w:rFonts w:ascii="宋体" w:hAnsi="宋体" w:eastAsia="宋体" w:cs="宋体"/>
          <w:sz w:val="24"/>
          <w:szCs w:val="24"/>
        </w:rPr>
        <w:t xml:space="preserve"> </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eastAsia" w:asciiTheme="minorEastAsia" w:hAnsiTheme="minorEastAsia" w:eastAsiaTheme="minorEastAsia" w:cstheme="minorEastAsia"/>
          <w:b/>
          <w:bCs/>
          <w:sz w:val="21"/>
          <w:szCs w:val="21"/>
          <w:lang w:val="en-US" w:eastAsia="zh-CN"/>
        </w:rPr>
      </w:pPr>
      <w:bookmarkStart w:id="117" w:name="_Toc14341"/>
      <w:r>
        <w:rPr>
          <w:rFonts w:hint="eastAsia" w:asciiTheme="minorEastAsia" w:hAnsiTheme="minorEastAsia" w:eastAsiaTheme="minorEastAsia" w:cstheme="minorEastAsia"/>
          <w:b/>
          <w:bCs/>
          <w:sz w:val="21"/>
          <w:szCs w:val="21"/>
          <w:lang w:val="en-US" w:eastAsia="zh-CN"/>
        </w:rPr>
        <w:t>4.13 总部代各个项目支付的管家手机话费，因实际报销涉及往来账套太多，因此报销单没有生成凭证而是手工导入凭证，是否有其他办法解决报销单生成凭证问题？</w:t>
      </w:r>
      <w:bookmarkEnd w:id="117"/>
    </w:p>
    <w:p>
      <w:pPr>
        <w:pageBreakBefore w:val="0"/>
        <w:widowControl w:val="0"/>
        <w:kinsoku/>
        <w:wordWrap/>
        <w:overflowPunct/>
        <w:topLinePunct w:val="0"/>
        <w:autoSpaceDE/>
        <w:autoSpaceDN/>
        <w:bidi w:val="0"/>
        <w:spacing w:line="360" w:lineRule="auto"/>
        <w:textAlignment w:val="auto"/>
        <w:outlineLvl w:val="9"/>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eastAsia="zh-CN"/>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报销单审批通过后应该正常生成凭证，否则该报销单凭证将被挂起，并在以后期间可以随时生成凭证，从而造成与手工凭证入账重复。正确的操作如下：</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4.13.1 业务人员借款用于支付话费，走“借款单”，生成凭证分录如下</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借：其他应收款-XXX</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 xml:space="preserve">  贷：银行存款/现金</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4.13.2 业务人员取得发票后报销，走“费用报销单”，报销时部门统一选择付款账套的某一个部门，生成凭证分录如下</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借：主营业务成本/管理费用/销售费用-电话费</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 xml:space="preserve">  贷：其他应收款-XXX</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同时，共享会计通过导入凭证模块，冲销报销单生成的损益科目，再按分摊明细发往来到各项目账套</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借：主营业务成本/管理费用/销售费用    -XXX  (红字负数）</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借：应付内部往来-XX分公司            XXX</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分公司机关账套接总部往来，凭证分录如下</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借：应付内部往来-XX项目        XXX</w:t>
      </w:r>
    </w:p>
    <w:p>
      <w:pPr>
        <w:pageBreakBefore w:val="0"/>
        <w:widowControl w:val="0"/>
        <w:kinsoku/>
        <w:wordWrap/>
        <w:overflowPunct/>
        <w:topLinePunct w:val="0"/>
        <w:autoSpaceDE/>
        <w:autoSpaceDN/>
        <w:bidi w:val="0"/>
        <w:spacing w:line="360" w:lineRule="auto"/>
        <w:ind w:firstLine="210" w:firstLineChars="100"/>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贷：应付内部往来-集团总部     XXX</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项目账套接机关往来，凭证分录如下</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借：主营业务成本-电话费        XXX</w:t>
      </w:r>
    </w:p>
    <w:p>
      <w:pPr>
        <w:pageBreakBefore w:val="0"/>
        <w:widowControl w:val="0"/>
        <w:kinsoku/>
        <w:wordWrap/>
        <w:overflowPunct/>
        <w:topLinePunct w:val="0"/>
        <w:autoSpaceDE/>
        <w:autoSpaceDN/>
        <w:bidi w:val="0"/>
        <w:spacing w:line="360" w:lineRule="auto"/>
        <w:ind w:firstLine="210" w:firstLineChars="100"/>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贷：应付内部往来-XX机关     XXX</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i w:val="0"/>
          <w:caps w:val="0"/>
          <w:color w:val="333333"/>
          <w:spacing w:val="0"/>
          <w:sz w:val="21"/>
          <w:szCs w:val="21"/>
          <w:shd w:val="clear" w:fill="FFFFFF"/>
          <w:lang w:val="en-US" w:eastAsia="zh-CN"/>
        </w:rPr>
        <w:t>对于其他由某一账套代其他多个账套支付的业务，可参照本操作执行。</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18" w:name="_Toc16625"/>
      <w:bookmarkStart w:id="119" w:name="_Toc10098"/>
      <w:r>
        <w:rPr>
          <w:rFonts w:hint="eastAsia" w:asciiTheme="minorEastAsia" w:hAnsiTheme="minorEastAsia" w:eastAsiaTheme="minorEastAsia" w:cstheme="minorEastAsia"/>
          <w:sz w:val="21"/>
          <w:szCs w:val="21"/>
          <w:lang w:val="en-US" w:eastAsia="zh-CN"/>
        </w:rPr>
        <w:t xml:space="preserve">4.14 </w:t>
      </w:r>
      <w:r>
        <w:rPr>
          <w:rFonts w:hint="eastAsia" w:asciiTheme="minorEastAsia" w:hAnsiTheme="minorEastAsia" w:eastAsiaTheme="minorEastAsia" w:cstheme="minorEastAsia"/>
          <w:sz w:val="21"/>
          <w:szCs w:val="21"/>
        </w:rPr>
        <w:t>对属于营业外支出性质的支出项目（如赔款、罚款等）不能在EAS系统一期中添加费用类型，那么如何走报销程序？</w:t>
      </w:r>
      <w:bookmarkEnd w:id="118"/>
      <w:bookmarkEnd w:id="119"/>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4.14.1</w:t>
      </w:r>
      <w:r>
        <w:rPr>
          <w:rFonts w:hint="eastAsia" w:asciiTheme="minorEastAsia" w:hAnsiTheme="minorEastAsia" w:eastAsiaTheme="minorEastAsia" w:cstheme="minorEastAsia"/>
          <w:sz w:val="21"/>
          <w:szCs w:val="21"/>
        </w:rPr>
        <w:t>考虑到计入营业外支出的事项一般无发票，且性质相当特殊，在报销审核时无法控制。因此在一期报销系统里</w:t>
      </w:r>
      <w:r>
        <w:rPr>
          <w:rFonts w:hint="eastAsia" w:asciiTheme="minorEastAsia" w:hAnsiTheme="minorEastAsia" w:cstheme="minorEastAsia"/>
          <w:sz w:val="21"/>
          <w:szCs w:val="21"/>
          <w:lang w:eastAsia="zh-CN"/>
        </w:rPr>
        <w:t>需要谨慎使用</w:t>
      </w:r>
      <w:r>
        <w:rPr>
          <w:rFonts w:hint="eastAsia" w:asciiTheme="minorEastAsia" w:hAnsiTheme="minorEastAsia" w:eastAsiaTheme="minorEastAsia" w:cstheme="minorEastAsia"/>
          <w:sz w:val="21"/>
          <w:szCs w:val="21"/>
        </w:rPr>
        <w:t>营业外支出费用类型。</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eastAsia="zh-CN"/>
        </w:rPr>
        <w:t>目前在一期添加了“营业外支出-公益性捐赠支出-TYFY032”、“非公益性捐赠支出-TYFY033”、“罚款滞纳金支出-TYFY034”（专指政府行政罚款与支出）、“营业外支出-赔偿金-TYFY039”四个常用费用类型，平时处于禁用状态，如需要使用的由项目财务人员</w:t>
      </w:r>
      <w:r>
        <w:rPr>
          <w:rFonts w:hint="eastAsia" w:asciiTheme="minorEastAsia" w:hAnsiTheme="minorEastAsia" w:eastAsiaTheme="minorEastAsia" w:cstheme="minorEastAsia"/>
          <w:sz w:val="21"/>
          <w:szCs w:val="21"/>
        </w:rPr>
        <w:t>先</w:t>
      </w:r>
      <w:r>
        <w:rPr>
          <w:rFonts w:hint="eastAsia" w:asciiTheme="minorEastAsia" w:hAnsiTheme="minorEastAsia" w:cstheme="minorEastAsia"/>
          <w:sz w:val="21"/>
          <w:szCs w:val="21"/>
          <w:lang w:eastAsia="zh-CN"/>
        </w:rPr>
        <w:t>与</w:t>
      </w:r>
      <w:r>
        <w:rPr>
          <w:rFonts w:hint="eastAsia" w:asciiTheme="minorEastAsia" w:hAnsiTheme="minorEastAsia" w:eastAsiaTheme="minorEastAsia" w:cstheme="minorEastAsia"/>
          <w:sz w:val="21"/>
          <w:szCs w:val="21"/>
        </w:rPr>
        <w:t>总账组</w:t>
      </w:r>
      <w:r>
        <w:rPr>
          <w:rFonts w:hint="eastAsia" w:asciiTheme="minorEastAsia" w:hAnsiTheme="minorEastAsia" w:cstheme="minorEastAsia"/>
          <w:sz w:val="21"/>
          <w:szCs w:val="21"/>
          <w:lang w:eastAsia="zh-CN"/>
        </w:rPr>
        <w:t>沟通，提供审批通过的</w:t>
      </w:r>
      <w:r>
        <w:rPr>
          <w:rFonts w:hint="eastAsia" w:asciiTheme="minorEastAsia" w:hAnsiTheme="minorEastAsia" w:cstheme="minorEastAsia"/>
          <w:sz w:val="21"/>
          <w:szCs w:val="21"/>
          <w:lang w:val="en-US" w:eastAsia="zh-CN"/>
        </w:rPr>
        <w:t>OA报备单，对于符合条件的，由总账组临时启用费用类型，待报销业务结束后再次禁用。</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eastAsia="zh-CN"/>
        </w:rPr>
        <w:t>对于其他营业外支出事项</w:t>
      </w:r>
      <w:r>
        <w:rPr>
          <w:rFonts w:hint="eastAsia" w:asciiTheme="minorEastAsia" w:hAnsiTheme="minorEastAsia" w:eastAsiaTheme="minorEastAsia" w:cstheme="minorEastAsia"/>
          <w:sz w:val="21"/>
          <w:szCs w:val="21"/>
        </w:rPr>
        <w:t>确实需要支出的非自扣支出项目，由前端业务人员发起OA付款流程，</w:t>
      </w:r>
      <w:r>
        <w:rPr>
          <w:rFonts w:hint="eastAsia" w:asciiTheme="minorEastAsia" w:hAnsiTheme="minorEastAsia" w:cstheme="minorEastAsia"/>
          <w:sz w:val="21"/>
          <w:szCs w:val="21"/>
          <w:lang w:eastAsia="zh-CN"/>
        </w:rPr>
        <w:t>完</w:t>
      </w:r>
      <w:r>
        <w:rPr>
          <w:rFonts w:hint="eastAsia" w:asciiTheme="minorEastAsia" w:hAnsiTheme="minorEastAsia" w:eastAsiaTheme="minorEastAsia" w:cstheme="minorEastAsia"/>
          <w:sz w:val="21"/>
          <w:szCs w:val="21"/>
        </w:rPr>
        <w:t>成</w:t>
      </w:r>
      <w:r>
        <w:rPr>
          <w:rFonts w:hint="eastAsia" w:asciiTheme="minorEastAsia" w:hAnsiTheme="minorEastAsia" w:cstheme="minorEastAsia"/>
          <w:sz w:val="21"/>
          <w:szCs w:val="21"/>
          <w:lang w:eastAsia="zh-CN"/>
        </w:rPr>
        <w:t>后由</w:t>
      </w:r>
      <w:r>
        <w:rPr>
          <w:rFonts w:hint="eastAsia" w:asciiTheme="minorEastAsia" w:hAnsiTheme="minorEastAsia" w:eastAsiaTheme="minorEastAsia" w:cstheme="minorEastAsia"/>
          <w:sz w:val="21"/>
          <w:szCs w:val="21"/>
        </w:rPr>
        <w:t>付款单生成凭证</w:t>
      </w:r>
      <w:r>
        <w:rPr>
          <w:rFonts w:hint="eastAsia" w:asciiTheme="minorEastAsia" w:hAnsiTheme="minorEastAsia" w:cstheme="minorEastAsia"/>
          <w:sz w:val="21"/>
          <w:szCs w:val="21"/>
          <w:lang w:eastAsia="zh-CN"/>
        </w:rPr>
        <w:t>，</w:t>
      </w:r>
      <w:r>
        <w:rPr>
          <w:rFonts w:hint="eastAsia" w:asciiTheme="minorEastAsia" w:hAnsiTheme="minorEastAsia" w:eastAsiaTheme="minorEastAsia" w:cstheme="minorEastAsia"/>
          <w:sz w:val="21"/>
          <w:szCs w:val="21"/>
        </w:rPr>
        <w:t>共享会计在生成的凭证上选相关会计科目。</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4.14.2</w:t>
      </w:r>
      <w:r>
        <w:rPr>
          <w:rFonts w:hint="eastAsia" w:asciiTheme="minorEastAsia" w:hAnsiTheme="minorEastAsia" w:cstheme="minorEastAsia"/>
          <w:sz w:val="21"/>
          <w:szCs w:val="21"/>
          <w:lang w:val="en-US" w:eastAsia="zh-CN"/>
        </w:rPr>
        <w:t>对上述四个费用类型外营业外支出</w:t>
      </w:r>
      <w:r>
        <w:rPr>
          <w:rFonts w:hint="eastAsia" w:asciiTheme="minorEastAsia" w:hAnsiTheme="minorEastAsia" w:eastAsiaTheme="minorEastAsia" w:cstheme="minorEastAsia"/>
          <w:sz w:val="21"/>
          <w:szCs w:val="21"/>
          <w:lang w:val="en-US" w:eastAsia="zh-CN"/>
        </w:rPr>
        <w:t>事先已有借款的（原则上不应有营业外支出项目的事先借款），在实际对外支出后，提供原审批文件及实际业务单据通过“总账核算单”走调账处理。</w:t>
      </w:r>
    </w:p>
    <w:p>
      <w:pPr>
        <w:pageBreakBefore w:val="0"/>
        <w:widowControl/>
        <w:kinsoku/>
        <w:wordWrap/>
        <w:overflowPunct/>
        <w:topLinePunct w:val="0"/>
        <w:autoSpaceDE/>
        <w:autoSpaceDN/>
        <w:bidi w:val="0"/>
        <w:spacing w:line="360" w:lineRule="auto"/>
        <w:jc w:val="left"/>
        <w:textAlignment w:val="auto"/>
        <w:outlineLvl w:val="0"/>
        <w:rPr>
          <w:rFonts w:hint="default" w:asciiTheme="minorEastAsia" w:hAnsiTheme="minorEastAsia" w:eastAsiaTheme="minorEastAsia" w:cstheme="minorEastAsia"/>
          <w:b/>
          <w:bCs/>
          <w:sz w:val="21"/>
          <w:szCs w:val="21"/>
          <w:shd w:val="clear" w:color="auto" w:fill="FFFFFF"/>
          <w:lang w:val="en-US" w:eastAsia="zh-CN"/>
        </w:rPr>
      </w:pPr>
      <w:bookmarkStart w:id="120" w:name="_Toc2782"/>
      <w:r>
        <w:rPr>
          <w:rFonts w:hint="eastAsia" w:asciiTheme="minorEastAsia" w:hAnsiTheme="minorEastAsia" w:cstheme="minorEastAsia"/>
          <w:b/>
          <w:bCs/>
          <w:sz w:val="21"/>
          <w:szCs w:val="21"/>
          <w:shd w:val="clear" w:color="auto" w:fill="FFFFFF"/>
          <w:lang w:val="en-US" w:eastAsia="zh-CN"/>
        </w:rPr>
        <w:t>4.15 对于赔款时未确定有保险理赔，在后期收到保险理赔如何操作？</w:t>
      </w:r>
      <w:bookmarkEnd w:id="120"/>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cstheme="minorEastAsia"/>
          <w:sz w:val="21"/>
          <w:szCs w:val="21"/>
          <w:shd w:val="clear" w:color="auto" w:fill="FFFFFF"/>
          <w:lang w:val="en-US" w:eastAsia="zh-CN"/>
        </w:rPr>
      </w:pPr>
      <w:r>
        <w:rPr>
          <w:rFonts w:hint="eastAsia" w:asciiTheme="minorEastAsia" w:hAnsiTheme="minorEastAsia" w:cstheme="minorEastAsia"/>
          <w:sz w:val="21"/>
          <w:szCs w:val="21"/>
          <w:shd w:val="clear" w:color="auto" w:fill="FFFFFF"/>
          <w:lang w:val="en-US" w:eastAsia="zh-CN"/>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cstheme="minorEastAsia"/>
          <w:sz w:val="21"/>
          <w:szCs w:val="21"/>
          <w:shd w:val="clear" w:color="auto" w:fill="FFFFFF"/>
          <w:lang w:val="en-US" w:eastAsia="zh-CN"/>
        </w:rPr>
      </w:pPr>
      <w:r>
        <w:rPr>
          <w:rFonts w:hint="eastAsia" w:asciiTheme="minorEastAsia" w:hAnsiTheme="minorEastAsia" w:cstheme="minorEastAsia"/>
          <w:sz w:val="21"/>
          <w:szCs w:val="21"/>
          <w:shd w:val="clear" w:color="auto" w:fill="FFFFFF"/>
          <w:lang w:val="en-US" w:eastAsia="zh-CN"/>
        </w:rPr>
        <w:t>4.15.1收款时收费云录入“保险理赔款”，生成的贷方科目为“2241.01.09保险公司赔款”。</w:t>
      </w:r>
    </w:p>
    <w:p>
      <w:pPr>
        <w:pageBreakBefore w:val="0"/>
        <w:widowControl/>
        <w:kinsoku/>
        <w:wordWrap/>
        <w:overflowPunct/>
        <w:topLinePunct w:val="0"/>
        <w:autoSpaceDE/>
        <w:autoSpaceDN/>
        <w:bidi w:val="0"/>
        <w:spacing w:line="360" w:lineRule="auto"/>
        <w:jc w:val="left"/>
        <w:textAlignment w:val="auto"/>
        <w:rPr>
          <w:rFonts w:hint="default" w:asciiTheme="minorEastAsia" w:hAnsiTheme="minorEastAsia" w:cstheme="minorEastAsia"/>
          <w:sz w:val="21"/>
          <w:szCs w:val="21"/>
          <w:shd w:val="clear" w:color="auto" w:fill="FFFFFF"/>
          <w:lang w:val="en-US" w:eastAsia="zh-CN"/>
        </w:rPr>
      </w:pPr>
      <w:r>
        <w:rPr>
          <w:rFonts w:hint="eastAsia" w:asciiTheme="minorEastAsia" w:hAnsiTheme="minorEastAsia" w:cstheme="minorEastAsia"/>
          <w:sz w:val="21"/>
          <w:szCs w:val="21"/>
          <w:shd w:val="clear" w:color="auto" w:fill="FFFFFF"/>
          <w:lang w:val="en-US" w:eastAsia="zh-CN"/>
        </w:rPr>
        <w:t>4.15.2再通过总账核算单冲销前期支付时记入的营业外支出科目，即借“2241.01.09保险公司赔款”，借“营业外支出”科目负数。</w:t>
      </w:r>
    </w:p>
    <w:p>
      <w:pPr>
        <w:pageBreakBefore w:val="0"/>
        <w:widowControl/>
        <w:kinsoku/>
        <w:wordWrap/>
        <w:overflowPunct/>
        <w:topLinePunct w:val="0"/>
        <w:autoSpaceDE/>
        <w:autoSpaceDN/>
        <w:bidi w:val="0"/>
        <w:spacing w:line="360" w:lineRule="auto"/>
        <w:jc w:val="left"/>
        <w:textAlignment w:val="auto"/>
        <w:outlineLvl w:val="0"/>
        <w:rPr>
          <w:rFonts w:hint="eastAsia" w:asciiTheme="minorEastAsia" w:hAnsiTheme="minorEastAsia" w:cstheme="minorEastAsia"/>
          <w:b/>
          <w:bCs/>
          <w:sz w:val="21"/>
          <w:szCs w:val="21"/>
          <w:shd w:val="clear" w:color="auto" w:fill="FFFFFF"/>
          <w:lang w:val="en-US" w:eastAsia="zh-CN"/>
        </w:rPr>
      </w:pPr>
      <w:bookmarkStart w:id="121" w:name="_Toc13042"/>
      <w:r>
        <w:rPr>
          <w:rFonts w:hint="eastAsia" w:asciiTheme="minorEastAsia" w:hAnsiTheme="minorEastAsia" w:cstheme="minorEastAsia"/>
          <w:b/>
          <w:bCs/>
          <w:sz w:val="21"/>
          <w:szCs w:val="21"/>
          <w:shd w:val="clear" w:color="auto" w:fill="FFFFFF"/>
          <w:lang w:val="en-US" w:eastAsia="zh-CN"/>
        </w:rPr>
        <w:t>4.16 分公司收到酬金制项目款，需要转回酬金制共管账户，如何操作？</w:t>
      </w:r>
      <w:bookmarkEnd w:id="121"/>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cstheme="minorEastAsia"/>
          <w:sz w:val="21"/>
          <w:szCs w:val="21"/>
          <w:shd w:val="clear" w:color="auto" w:fill="FFFFFF"/>
          <w:lang w:val="en-US" w:eastAsia="zh-CN"/>
        </w:rPr>
      </w:pPr>
      <w:r>
        <w:rPr>
          <w:rFonts w:hint="eastAsia" w:asciiTheme="minorEastAsia" w:hAnsiTheme="minorEastAsia" w:cstheme="minorEastAsia"/>
          <w:sz w:val="21"/>
          <w:szCs w:val="21"/>
          <w:shd w:val="clear" w:color="auto" w:fill="FFFFFF"/>
          <w:lang w:val="en-US" w:eastAsia="zh-CN"/>
        </w:rPr>
        <w:t>答：通过OA报备，由出纳转款。</w:t>
      </w:r>
    </w:p>
    <w:p>
      <w:pPr>
        <w:pageBreakBefore w:val="0"/>
        <w:widowControl/>
        <w:kinsoku/>
        <w:wordWrap/>
        <w:overflowPunct/>
        <w:topLinePunct w:val="0"/>
        <w:autoSpaceDE/>
        <w:autoSpaceDN/>
        <w:bidi w:val="0"/>
        <w:spacing w:line="360" w:lineRule="auto"/>
        <w:jc w:val="left"/>
        <w:textAlignment w:val="auto"/>
        <w:outlineLvl w:val="0"/>
        <w:rPr>
          <w:rFonts w:hint="default" w:asciiTheme="minorEastAsia" w:hAnsiTheme="minorEastAsia" w:cstheme="minorEastAsia"/>
          <w:b/>
          <w:bCs/>
          <w:sz w:val="21"/>
          <w:szCs w:val="21"/>
          <w:shd w:val="clear" w:color="auto" w:fill="FFFFFF"/>
          <w:lang w:val="en-US" w:eastAsia="zh-CN"/>
        </w:rPr>
      </w:pPr>
      <w:bookmarkStart w:id="122" w:name="_Toc19809"/>
      <w:r>
        <w:rPr>
          <w:rFonts w:hint="eastAsia" w:asciiTheme="minorEastAsia" w:hAnsiTheme="minorEastAsia" w:cstheme="minorEastAsia"/>
          <w:b/>
          <w:bCs/>
          <w:sz w:val="21"/>
          <w:szCs w:val="21"/>
          <w:shd w:val="clear" w:color="auto" w:fill="FFFFFF"/>
          <w:lang w:val="en-US" w:eastAsia="zh-CN"/>
        </w:rPr>
        <w:t>4.17 固定资产购入后，使用了一段时间再生成固定资产卡片，怎么处理入账前应计提的折旧问题？</w:t>
      </w:r>
      <w:bookmarkEnd w:id="122"/>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cstheme="minorEastAsia"/>
          <w:sz w:val="21"/>
          <w:szCs w:val="21"/>
          <w:shd w:val="clear" w:color="auto" w:fill="FFFFFF"/>
          <w:lang w:val="en-US" w:eastAsia="zh-CN"/>
        </w:rPr>
      </w:pPr>
      <w:r>
        <w:rPr>
          <w:rFonts w:hint="eastAsia" w:asciiTheme="minorEastAsia" w:hAnsiTheme="minorEastAsia" w:cstheme="minorEastAsia"/>
          <w:sz w:val="21"/>
          <w:szCs w:val="21"/>
          <w:shd w:val="clear" w:color="auto" w:fill="FFFFFF"/>
          <w:lang w:val="en-US" w:eastAsia="zh-CN"/>
        </w:rPr>
        <w:t>答：购入固定资产在录入固定资产卡片时，如果录用的实际使用日期（比如2020年6月）早于入账日期（比如2020年9月），卡片推送出的凭证中会把已使用期间的折旧直接冲抵贷方的往来，导致折旧成本费用和往来科目比实际少，在录入固定资产卡片时分两步操作：A、录入固定资产卡片时，《原值与折旧》内的开始使用日期与入账当月期间一致，见下图；B、然后再通过固定资产变更方式修改使用日期与已提折旧金额。</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cstheme="minorEastAsia"/>
          <w:sz w:val="21"/>
          <w:szCs w:val="21"/>
          <w:shd w:val="clear" w:color="auto" w:fill="FFFFFF"/>
          <w:lang w:val="en-US" w:eastAsia="zh-CN"/>
        </w:rPr>
      </w:pPr>
      <w:r>
        <w:rPr>
          <w:rFonts w:hint="eastAsia" w:asciiTheme="minorEastAsia" w:hAnsiTheme="minorEastAsia" w:cstheme="minorEastAsia"/>
          <w:sz w:val="21"/>
          <w:szCs w:val="21"/>
          <w:shd w:val="clear" w:color="auto" w:fill="FFFFFF"/>
          <w:lang w:val="en-US" w:eastAsia="zh-CN"/>
        </w:rPr>
        <w:t>本业务多发生在供应商未及时结算或我公司因审核原因造成延期入账。</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cstheme="minorEastAsia"/>
          <w:sz w:val="21"/>
          <w:szCs w:val="21"/>
          <w:shd w:val="clear" w:color="auto" w:fill="FFFFFF"/>
          <w:lang w:val="en-US" w:eastAsia="zh-CN"/>
        </w:rPr>
      </w:pPr>
    </w:p>
    <w:p>
      <w:pPr>
        <w:pageBreakBefore w:val="0"/>
        <w:widowControl/>
        <w:kinsoku/>
        <w:wordWrap/>
        <w:overflowPunct/>
        <w:topLinePunct w:val="0"/>
        <w:autoSpaceDE/>
        <w:autoSpaceDN/>
        <w:bidi w:val="0"/>
        <w:spacing w:line="360" w:lineRule="auto"/>
        <w:jc w:val="left"/>
        <w:textAlignment w:val="auto"/>
      </w:pPr>
      <w:r>
        <w:drawing>
          <wp:inline distT="0" distB="0" distL="114300" distR="114300">
            <wp:extent cx="6300470" cy="1450340"/>
            <wp:effectExtent l="0" t="0" r="5080" b="1651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5"/>
                    <a:stretch>
                      <a:fillRect/>
                    </a:stretch>
                  </pic:blipFill>
                  <pic:spPr>
                    <a:xfrm>
                      <a:off x="0" y="0"/>
                      <a:ext cx="6300470" cy="1450340"/>
                    </a:xfrm>
                    <a:prstGeom prst="rect">
                      <a:avLst/>
                    </a:prstGeom>
                    <a:noFill/>
                    <a:ln>
                      <a:noFill/>
                    </a:ln>
                  </pic:spPr>
                </pic:pic>
              </a:graphicData>
            </a:graphic>
          </wp:inline>
        </w:drawing>
      </w:r>
    </w:p>
    <w:p>
      <w:pPr>
        <w:pageBreakBefore w:val="0"/>
        <w:widowControl/>
        <w:kinsoku/>
        <w:wordWrap/>
        <w:overflowPunct/>
        <w:topLinePunct w:val="0"/>
        <w:autoSpaceDE/>
        <w:autoSpaceDN/>
        <w:bidi w:val="0"/>
        <w:spacing w:line="360" w:lineRule="auto"/>
        <w:jc w:val="left"/>
        <w:textAlignment w:val="auto"/>
      </w:pPr>
      <w:r>
        <w:drawing>
          <wp:inline distT="0" distB="0" distL="114300" distR="114300">
            <wp:extent cx="6289675" cy="1788160"/>
            <wp:effectExtent l="0" t="0" r="15875" b="254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6"/>
                    <a:stretch>
                      <a:fillRect/>
                    </a:stretch>
                  </pic:blipFill>
                  <pic:spPr>
                    <a:xfrm>
                      <a:off x="0" y="0"/>
                      <a:ext cx="6289675" cy="1788160"/>
                    </a:xfrm>
                    <a:prstGeom prst="rect">
                      <a:avLst/>
                    </a:prstGeom>
                    <a:noFill/>
                    <a:ln>
                      <a:noFill/>
                    </a:ln>
                  </pic:spPr>
                </pic:pic>
              </a:graphicData>
            </a:graphic>
          </wp:inline>
        </w:drawing>
      </w:r>
    </w:p>
    <w:p>
      <w:pPr>
        <w:pageBreakBefore w:val="0"/>
        <w:widowControl/>
        <w:kinsoku/>
        <w:wordWrap/>
        <w:overflowPunct/>
        <w:topLinePunct w:val="0"/>
        <w:autoSpaceDE/>
        <w:autoSpaceDN/>
        <w:bidi w:val="0"/>
        <w:spacing w:line="360" w:lineRule="auto"/>
        <w:jc w:val="left"/>
        <w:textAlignment w:val="auto"/>
        <w:outlineLvl w:val="0"/>
        <w:rPr>
          <w:rFonts w:hint="default" w:asciiTheme="minorEastAsia" w:hAnsiTheme="minorEastAsia" w:cstheme="minorEastAsia"/>
          <w:b/>
          <w:bCs/>
          <w:sz w:val="21"/>
          <w:szCs w:val="21"/>
          <w:shd w:val="clear" w:color="auto" w:fill="FFFFFF"/>
          <w:lang w:val="en-US" w:eastAsia="zh-CN"/>
        </w:rPr>
      </w:pPr>
      <w:bookmarkStart w:id="123" w:name="_Toc26880"/>
      <w:r>
        <w:rPr>
          <w:rFonts w:hint="eastAsia" w:asciiTheme="minorEastAsia" w:hAnsiTheme="minorEastAsia" w:cstheme="minorEastAsia"/>
          <w:b/>
          <w:bCs/>
          <w:sz w:val="21"/>
          <w:szCs w:val="21"/>
          <w:shd w:val="clear" w:color="auto" w:fill="FFFFFF"/>
          <w:lang w:val="en-US" w:eastAsia="zh-CN"/>
        </w:rPr>
        <w:t>4.18 一期营业外支出-赔偿金报销事项说明</w:t>
      </w:r>
      <w:bookmarkEnd w:id="123"/>
    </w:p>
    <w:p>
      <w:pPr>
        <w:pageBreakBefore w:val="0"/>
        <w:widowControl/>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答：</w:t>
      </w:r>
    </w:p>
    <w:p>
      <w:pPr>
        <w:pageBreakBefore w:val="0"/>
        <w:widowControl/>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费用类型“TYFY039营业外支出-赔偿金”核算的是因过错造成对方财产、人身损失而给予的赔偿款（此处注意：因履行合同未达到合同要求，按合同条款约定支付的违约金、质量罚款等应冲销相关合同的主营业务收入）。</w:t>
      </w:r>
    </w:p>
    <w:p>
      <w:pPr>
        <w:pageBreakBefore w:val="0"/>
        <w:widowControl/>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TYFY039营业外支出-赔偿金”的报销附件包含：协议（裁判书、裁定书）、集团内部OA审批。如果是归还之前的借款，应提供支付给对方银行的流水，对方已收到款项的收据（如果是现金支付给对方，必须取得对方收据）。</w:t>
      </w:r>
    </w:p>
    <w:p>
      <w:pPr>
        <w:pageBreakBefore w:val="0"/>
        <w:widowControl/>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说明：集团内部审批OA，这个是必需。其主要意义是：集团各领导要知道这个赔偿的事情。</w:t>
      </w:r>
    </w:p>
    <w:p>
      <w:pPr>
        <w:pageBreakBefore w:val="0"/>
        <w:widowControl/>
        <w:kinsoku/>
        <w:wordWrap/>
        <w:overflowPunct/>
        <w:topLinePunct w:val="0"/>
        <w:autoSpaceDE/>
        <w:autoSpaceDN/>
        <w:bidi w:val="0"/>
        <w:spacing w:line="360" w:lineRule="auto"/>
        <w:jc w:val="left"/>
        <w:textAlignment w:val="auto"/>
        <w:outlineLvl w:val="0"/>
        <w:rPr>
          <w:rFonts w:hint="default" w:asciiTheme="minorEastAsia" w:hAnsiTheme="minorEastAsia" w:cstheme="minorEastAsia"/>
          <w:b/>
          <w:bCs/>
          <w:sz w:val="21"/>
          <w:szCs w:val="21"/>
          <w:shd w:val="clear" w:color="auto" w:fill="FFFFFF"/>
          <w:lang w:val="en-US" w:eastAsia="zh-CN"/>
        </w:rPr>
      </w:pPr>
      <w:bookmarkStart w:id="124" w:name="_Toc11406"/>
      <w:r>
        <w:rPr>
          <w:rFonts w:hint="eastAsia" w:asciiTheme="minorEastAsia" w:hAnsiTheme="minorEastAsia" w:cstheme="minorEastAsia"/>
          <w:b/>
          <w:bCs/>
          <w:sz w:val="21"/>
          <w:szCs w:val="21"/>
          <w:shd w:val="clear" w:color="auto" w:fill="FFFFFF"/>
          <w:lang w:val="en-US" w:eastAsia="zh-CN"/>
        </w:rPr>
        <w:t>4.19 关于通过一期系统对外支付押金、保证金借款及后期还款事项的操作说明</w:t>
      </w:r>
      <w:bookmarkEnd w:id="124"/>
    </w:p>
    <w:p>
      <w:pPr>
        <w:pageBreakBefore w:val="0"/>
        <w:widowControl/>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答：</w:t>
      </w:r>
    </w:p>
    <w:p>
      <w:pPr>
        <w:spacing w:line="360" w:lineRule="auto"/>
        <w:jc w:val="left"/>
        <w:rPr>
          <w:rFonts w:hint="eastAsia"/>
          <w:b w:val="0"/>
          <w:bCs w:val="0"/>
          <w:sz w:val="24"/>
          <w:szCs w:val="24"/>
          <w:lang w:val="en-US" w:eastAsia="zh-CN"/>
        </w:rPr>
      </w:pPr>
      <w:r>
        <w:rPr>
          <w:rFonts w:hint="eastAsia"/>
          <w:b w:val="0"/>
          <w:bCs w:val="0"/>
          <w:sz w:val="24"/>
          <w:szCs w:val="24"/>
          <w:lang w:val="en-US" w:eastAsia="zh-CN"/>
        </w:rPr>
        <w:t>考虑到走借款对外支付的押金、保证金后续是直接在银行收到对方退回的押金，该业务不能保证在一定期间内收回，也没有发票可以报销去冲抵借款，所以现将该类业务取消关联费用报销单，即只关联借款单，在借款之后直接记入押金科目，涉及到的费用类型如下：</w:t>
      </w:r>
    </w:p>
    <w:tbl>
      <w:tblPr>
        <w:tblStyle w:val="11"/>
        <w:tblW w:w="94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85"/>
        <w:gridCol w:w="5175"/>
        <w:gridCol w:w="2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类型编码</w:t>
            </w:r>
          </w:p>
        </w:tc>
        <w:tc>
          <w:tcPr>
            <w:tcW w:w="517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类型名称</w:t>
            </w:r>
          </w:p>
        </w:tc>
        <w:tc>
          <w:tcPr>
            <w:tcW w:w="280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关联单据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TYFY040</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押金、投标保证金、质保金（楼宇电梯用）</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TYFY019</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押金、投标保证金、质保金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TYFY045</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对外支付押金-履约保证金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TYFY046</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对外支付押金-租赁押金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TYFY047</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对外支付押金-水电费押金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TYFY048</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对外支付押金-POS机押金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TYFY049</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对外支付押金-桶装水押金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TYFY050</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对外支付押金-车卡押金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TYFY051</w:t>
            </w:r>
          </w:p>
        </w:tc>
        <w:tc>
          <w:tcPr>
            <w:tcW w:w="5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对外支付押金-其他押金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借款单</w:t>
            </w:r>
          </w:p>
        </w:tc>
      </w:tr>
    </w:tbl>
    <w:p>
      <w:pPr>
        <w:spacing w:line="360" w:lineRule="auto"/>
        <w:jc w:val="left"/>
        <w:rPr>
          <w:rFonts w:hint="eastAsia"/>
          <w:b/>
          <w:bCs/>
          <w:sz w:val="24"/>
          <w:szCs w:val="24"/>
          <w:lang w:val="en-US" w:eastAsia="zh-CN"/>
        </w:rPr>
      </w:pPr>
      <w:r>
        <w:rPr>
          <w:rFonts w:hint="eastAsia"/>
          <w:b/>
          <w:bCs/>
          <w:sz w:val="24"/>
          <w:szCs w:val="24"/>
          <w:lang w:val="en-US" w:eastAsia="zh-CN"/>
        </w:rPr>
        <w:t>以前操作：</w:t>
      </w:r>
    </w:p>
    <w:p>
      <w:pPr>
        <w:spacing w:line="360" w:lineRule="auto"/>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第一步：申请借款，通过借款单生成凭证</w:t>
      </w:r>
    </w:p>
    <w:p>
      <w:pPr>
        <w:spacing w:line="360" w:lineRule="auto"/>
        <w:jc w:val="left"/>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借：其他应收款-个人借款</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贷：银行存款</w:t>
      </w:r>
    </w:p>
    <w:p>
      <w:pPr>
        <w:spacing w:line="360" w:lineRule="auto"/>
        <w:rPr>
          <w:rFonts w:hint="eastAsia" w:ascii="楷体" w:hAnsi="楷体" w:eastAsia="楷体" w:cs="楷体"/>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第二步：拿到对方收据报销</w:t>
      </w:r>
      <w:r>
        <w:rPr>
          <w:rFonts w:hint="eastAsia" w:asciiTheme="minorEastAsia" w:hAnsiTheme="minorEastAsia" w:cstheme="minorEastAsia"/>
          <w:b w:val="0"/>
          <w:bCs w:val="0"/>
          <w:sz w:val="24"/>
          <w:szCs w:val="24"/>
          <w:lang w:val="en-US" w:eastAsia="zh-CN"/>
        </w:rPr>
        <w:t>冲借款</w:t>
      </w:r>
      <w:r>
        <w:rPr>
          <w:rFonts w:hint="eastAsia" w:ascii="楷体" w:hAnsi="楷体" w:eastAsia="楷体" w:cs="楷体"/>
          <w:b w:val="0"/>
          <w:bCs w:val="0"/>
          <w:sz w:val="24"/>
          <w:szCs w:val="24"/>
          <w:lang w:val="en-US" w:eastAsia="zh-CN"/>
        </w:rPr>
        <w:t>：</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借：其他应收款-押金保证金</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贷：其他应收款-个人借款</w:t>
      </w:r>
    </w:p>
    <w:p>
      <w:pPr>
        <w:spacing w:line="360" w:lineRule="auto"/>
        <w:rPr>
          <w:rFonts w:hint="eastAsia" w:ascii="楷体" w:hAnsi="楷体" w:eastAsia="楷体" w:cs="楷体"/>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第三步：银行收到退回的押金、保证金</w:t>
      </w:r>
      <w:r>
        <w:rPr>
          <w:rFonts w:hint="eastAsia" w:asciiTheme="minorEastAsia" w:hAnsiTheme="minorEastAsia" w:cstheme="minorEastAsia"/>
          <w:b w:val="0"/>
          <w:bCs w:val="0"/>
          <w:sz w:val="24"/>
          <w:szCs w:val="24"/>
          <w:lang w:val="en-US" w:eastAsia="zh-CN"/>
        </w:rPr>
        <w:t>，通过收款单生凭证：</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借：银行存款</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贷：其他应收款-押金保证金</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现在</w:t>
      </w:r>
      <w:r>
        <w:rPr>
          <w:rFonts w:hint="eastAsia" w:asciiTheme="minorEastAsia" w:hAnsiTheme="minorEastAsia" w:cstheme="minorEastAsia"/>
          <w:b/>
          <w:bCs/>
          <w:sz w:val="24"/>
          <w:szCs w:val="24"/>
          <w:lang w:val="en-US" w:eastAsia="zh-CN"/>
        </w:rPr>
        <w:t>操作</w:t>
      </w:r>
    </w:p>
    <w:p>
      <w:pPr>
        <w:spacing w:line="360" w:lineRule="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第一步：直接通过借款单生凭证：</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借：其他应收款-押金保证金（职员+往来单位）</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贷：银行存款</w:t>
      </w:r>
    </w:p>
    <w:p>
      <w:pPr>
        <w:spacing w:line="360" w:lineRule="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第二步：银行收到退回的押金保证金通过收款单生凭证：</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借：银行存款</w:t>
      </w:r>
    </w:p>
    <w:p>
      <w:pPr>
        <w:pageBreakBefore w:val="0"/>
        <w:widowControl/>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贷：其他应收款-押金保证金（职员+往来单位）</w:t>
      </w:r>
    </w:p>
    <w:p>
      <w:pPr>
        <w:spacing w:line="360" w:lineRule="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第三步：通过在借款单点击还款操作关联银行收款单关闭该借款业务，本步不生成凭证</w:t>
      </w:r>
    </w:p>
    <w:p>
      <w:pPr>
        <w:spacing w:line="360" w:lineRule="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新的操作方下拿到对应的押金收据直接作为原始凭证无需再走报销。</w:t>
      </w:r>
    </w:p>
    <w:p>
      <w:pPr>
        <w:pageBreakBefore w:val="0"/>
        <w:widowControl/>
        <w:kinsoku/>
        <w:wordWrap/>
        <w:overflowPunct/>
        <w:topLinePunct w:val="0"/>
        <w:autoSpaceDE/>
        <w:autoSpaceDN/>
        <w:bidi w:val="0"/>
        <w:spacing w:line="360" w:lineRule="auto"/>
        <w:jc w:val="left"/>
        <w:textAlignment w:val="auto"/>
        <w:outlineLvl w:val="0"/>
        <w:rPr>
          <w:rFonts w:hint="default" w:asciiTheme="minorEastAsia" w:hAnsiTheme="minorEastAsia" w:cstheme="minorEastAsia"/>
          <w:b/>
          <w:bCs/>
          <w:sz w:val="21"/>
          <w:szCs w:val="21"/>
          <w:shd w:val="clear" w:color="auto" w:fill="FFFFFF"/>
          <w:lang w:val="en-US" w:eastAsia="zh-CN"/>
        </w:rPr>
      </w:pPr>
      <w:bookmarkStart w:id="125" w:name="_Toc22802"/>
      <w:r>
        <w:rPr>
          <w:rFonts w:hint="eastAsia" w:asciiTheme="minorEastAsia" w:hAnsiTheme="minorEastAsia" w:cstheme="minorEastAsia"/>
          <w:b/>
          <w:bCs/>
          <w:sz w:val="21"/>
          <w:szCs w:val="21"/>
          <w:shd w:val="clear" w:color="auto" w:fill="FFFFFF"/>
          <w:lang w:val="en-US" w:eastAsia="zh-CN"/>
        </w:rPr>
        <w:t>4.20 关于一期、三期系统取消长期待摊费用项目后的操作说明</w:t>
      </w:r>
      <w:bookmarkEnd w:id="125"/>
    </w:p>
    <w:p>
      <w:pPr>
        <w:pageBreakBefore w:val="0"/>
        <w:widowControl/>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答：集团核算规则长期待摊费用的入账标准为“收益期在3年及以上、起点金额原则上应大于5万上的工程”，长摊业务在工程验收前先通过在建工程科目核算工程进度，待工程完工验收后再结转到长期待摊费用科目。</w:t>
      </w:r>
    </w:p>
    <w:p>
      <w:pPr>
        <w:pageBreakBefore w:val="0"/>
        <w:widowControl/>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长期待摊费用初始计量业务分两个阶段核算：</w:t>
      </w:r>
    </w:p>
    <w:p>
      <w:pPr>
        <w:pageBreakBefore w:val="0"/>
        <w:widowControl/>
        <w:kinsoku/>
        <w:wordWrap/>
        <w:overflowPunct/>
        <w:topLinePunct w:val="0"/>
        <w:autoSpaceDE/>
        <w:autoSpaceDN/>
        <w:bidi w:val="0"/>
        <w:spacing w:line="360" w:lineRule="auto"/>
        <w:jc w:val="left"/>
        <w:textAlignment w:val="auto"/>
        <w:rPr>
          <w:rFonts w:hint="eastAsia"/>
          <w:b/>
          <w:bCs/>
          <w:lang w:val="en-US" w:eastAsia="zh-CN"/>
        </w:rPr>
      </w:pPr>
      <w:r>
        <w:rPr>
          <w:rFonts w:hint="eastAsia"/>
          <w:b/>
          <w:bCs/>
          <w:lang w:val="en-US" w:eastAsia="zh-CN"/>
        </w:rPr>
        <w:t>第一阶段：工程核算阶段，通过三期系统实现或一期期系统实现</w:t>
      </w:r>
    </w:p>
    <w:p>
      <w:pPr>
        <w:pageBreakBefore w:val="0"/>
        <w:widowControl/>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1）所有上三期的组织都通过三期系统操作，三期费用项目见下表</w:t>
      </w:r>
    </w:p>
    <w:tbl>
      <w:tblPr>
        <w:tblStyle w:val="11"/>
        <w:tblW w:w="99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8"/>
        <w:gridCol w:w="3218"/>
        <w:gridCol w:w="1102"/>
        <w:gridCol w:w="1132"/>
        <w:gridCol w:w="1031"/>
        <w:gridCol w:w="1204"/>
        <w:gridCol w:w="435"/>
        <w:gridCol w:w="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编码</w:t>
            </w:r>
          </w:p>
        </w:tc>
        <w:tc>
          <w:tcPr>
            <w:tcW w:w="3218"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名称</w:t>
            </w:r>
          </w:p>
        </w:tc>
        <w:tc>
          <w:tcPr>
            <w:tcW w:w="110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应收付科目编码</w:t>
            </w:r>
          </w:p>
        </w:tc>
        <w:tc>
          <w:tcPr>
            <w:tcW w:w="113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对方科目编码</w:t>
            </w:r>
          </w:p>
        </w:tc>
        <w:tc>
          <w:tcPr>
            <w:tcW w:w="1031"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对方科目编码</w:t>
            </w:r>
          </w:p>
        </w:tc>
        <w:tc>
          <w:tcPr>
            <w:tcW w:w="120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预收付科目编码</w:t>
            </w:r>
          </w:p>
        </w:tc>
        <w:tc>
          <w:tcPr>
            <w:tcW w:w="43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类型</w:t>
            </w:r>
          </w:p>
        </w:tc>
        <w:tc>
          <w:tcPr>
            <w:tcW w:w="73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业务类型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QTFW075</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(物业使用)租赁办公室装修工程-内部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内部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QTFW076</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(物业使用)工程改造工程-内部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内部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QTFW077</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(物业使用)非办公装修及工程改造类工程-内部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内部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QTFW078</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(物业使用)租赁办公室装修工程-外部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2202.09</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1123.08</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外部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QTFW079</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(物业使用)工程改造工程-外部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2202.09</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1123.08</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外部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QTFW080</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(物业使用)非办公装修及工程改造类工程-外部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2202.09</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1123.08</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外部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QTFW143</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(物业使用)在安装设备工程-内部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1604.06</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内部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LYGC012</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(楼宇使用)建筑工程-内部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内部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长城楼宇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LYGC013</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(楼宇使用)在安装设备-内部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1604.06</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2100.30</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内部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长城楼宇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LYGC014</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(楼宇使用)建筑工程-外部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2202.09</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1123.08</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外部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长城楼宇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0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LYGC015</w:t>
            </w:r>
          </w:p>
        </w:tc>
        <w:tc>
          <w:tcPr>
            <w:tcW w:w="32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(楼宇使用)在安装设备-外部</w:t>
            </w:r>
          </w:p>
        </w:tc>
        <w:tc>
          <w:tcPr>
            <w:tcW w:w="11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2202.09</w:t>
            </w:r>
          </w:p>
        </w:tc>
        <w:tc>
          <w:tcPr>
            <w:tcW w:w="11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1604.06</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1604.06</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1123.08</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外部</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长城楼宇</w:t>
            </w:r>
          </w:p>
        </w:tc>
      </w:tr>
    </w:tbl>
    <w:p>
      <w:pPr>
        <w:pageBreakBefore w:val="0"/>
        <w:widowControl/>
        <w:numPr>
          <w:ilvl w:val="0"/>
          <w:numId w:val="0"/>
        </w:numPr>
        <w:kinsoku/>
        <w:wordWrap/>
        <w:overflowPunct/>
        <w:topLinePunct w:val="0"/>
        <w:autoSpaceDE/>
        <w:autoSpaceDN/>
        <w:bidi w:val="0"/>
        <w:spacing w:line="360" w:lineRule="auto"/>
        <w:jc w:val="left"/>
        <w:textAlignment w:val="auto"/>
        <w:rPr>
          <w:rFonts w:hint="eastAsia"/>
          <w:lang w:val="en-US" w:eastAsia="zh-CN"/>
        </w:rPr>
      </w:pPr>
      <w:r>
        <w:rPr>
          <w:rFonts w:hint="eastAsia"/>
          <w:lang w:val="en-US" w:eastAsia="zh-CN"/>
        </w:rPr>
        <w:t>2）未上三期的组织如酬金制项目和机关账套，通过一期报销系统操作，一期费用类型见下表</w:t>
      </w:r>
    </w:p>
    <w:tbl>
      <w:tblPr>
        <w:tblStyle w:val="11"/>
        <w:tblW w:w="99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14"/>
        <w:gridCol w:w="1793"/>
        <w:gridCol w:w="1373"/>
        <w:gridCol w:w="2023"/>
        <w:gridCol w:w="1512"/>
        <w:gridCol w:w="453"/>
        <w:gridCol w:w="794"/>
        <w:gridCol w:w="1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814"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类型编码</w:t>
            </w:r>
          </w:p>
        </w:tc>
        <w:tc>
          <w:tcPr>
            <w:tcW w:w="1793"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类型名称</w:t>
            </w:r>
          </w:p>
        </w:tc>
        <w:tc>
          <w:tcPr>
            <w:tcW w:w="1373"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业务类别</w:t>
            </w:r>
          </w:p>
        </w:tc>
        <w:tc>
          <w:tcPr>
            <w:tcW w:w="2023"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关联单据</w:t>
            </w:r>
          </w:p>
        </w:tc>
        <w:tc>
          <w:tcPr>
            <w:tcW w:w="1512"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业态属性</w:t>
            </w:r>
          </w:p>
        </w:tc>
        <w:tc>
          <w:tcPr>
            <w:tcW w:w="453"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报销业务</w:t>
            </w:r>
          </w:p>
        </w:tc>
        <w:tc>
          <w:tcPr>
            <w:tcW w:w="794"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借方科目</w:t>
            </w:r>
          </w:p>
        </w:tc>
        <w:tc>
          <w:tcPr>
            <w:tcW w:w="1190"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贷方科目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LYJY154</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在建工程</w:t>
            </w:r>
            <w:r>
              <w:rPr>
                <w:rStyle w:val="28"/>
                <w:rFonts w:hint="eastAsia" w:asciiTheme="minorEastAsia" w:hAnsiTheme="minorEastAsia" w:eastAsiaTheme="minorEastAsia" w:cstheme="minorEastAsia"/>
                <w:sz w:val="18"/>
                <w:szCs w:val="18"/>
                <w:lang w:val="en-US" w:eastAsia="zh-CN" w:bidi="ar"/>
              </w:rPr>
              <w:t>-</w:t>
            </w:r>
            <w:r>
              <w:rPr>
                <w:rStyle w:val="29"/>
                <w:rFonts w:hint="eastAsia" w:asciiTheme="minorEastAsia" w:hAnsiTheme="minorEastAsia" w:eastAsiaTheme="minorEastAsia" w:cstheme="minorEastAsia"/>
                <w:sz w:val="18"/>
                <w:szCs w:val="18"/>
                <w:lang w:val="en-US" w:eastAsia="zh-CN" w:bidi="ar"/>
              </w:rPr>
              <w:t>安装工程</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楼宇经营单元费用类型</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物品采购费用报销单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借款单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费用报销单</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楼宇经营单元</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其他</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1604.04</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1221.04.10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LYJY155</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在建工程</w:t>
            </w:r>
            <w:r>
              <w:rPr>
                <w:rStyle w:val="28"/>
                <w:rFonts w:hint="eastAsia" w:asciiTheme="minorEastAsia" w:hAnsiTheme="minorEastAsia" w:eastAsiaTheme="minorEastAsia" w:cstheme="minorEastAsia"/>
                <w:sz w:val="18"/>
                <w:szCs w:val="18"/>
                <w:lang w:val="en-US" w:eastAsia="zh-CN" w:bidi="ar"/>
              </w:rPr>
              <w:t>-</w:t>
            </w:r>
            <w:r>
              <w:rPr>
                <w:rStyle w:val="29"/>
                <w:rFonts w:hint="eastAsia" w:asciiTheme="minorEastAsia" w:hAnsiTheme="minorEastAsia" w:eastAsiaTheme="minorEastAsia" w:cstheme="minorEastAsia"/>
                <w:sz w:val="18"/>
                <w:szCs w:val="18"/>
                <w:lang w:val="en-US" w:eastAsia="zh-CN" w:bidi="ar"/>
              </w:rPr>
              <w:t>建筑工程</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楼宇经营单元费用类型</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物品采购费用报销单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借款单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费用报销单</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楼宇经营单元</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其他</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1221.04.10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LYJY156</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在建工程</w:t>
            </w:r>
            <w:r>
              <w:rPr>
                <w:rStyle w:val="28"/>
                <w:rFonts w:hint="eastAsia" w:asciiTheme="minorEastAsia" w:hAnsiTheme="minorEastAsia" w:eastAsiaTheme="minorEastAsia" w:cstheme="minorEastAsia"/>
                <w:sz w:val="18"/>
                <w:szCs w:val="18"/>
                <w:lang w:val="en-US" w:eastAsia="zh-CN" w:bidi="ar"/>
              </w:rPr>
              <w:t>-</w:t>
            </w:r>
            <w:r>
              <w:rPr>
                <w:rStyle w:val="29"/>
                <w:rFonts w:hint="eastAsia" w:asciiTheme="minorEastAsia" w:hAnsiTheme="minorEastAsia" w:eastAsiaTheme="minorEastAsia" w:cstheme="minorEastAsia"/>
                <w:sz w:val="18"/>
                <w:szCs w:val="18"/>
                <w:lang w:val="en-US" w:eastAsia="zh-CN" w:bidi="ar"/>
              </w:rPr>
              <w:t>在安装设备</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楼宇经营单元费用类型</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物品采购费用报销单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借款单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费用报销单</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楼宇经营单元</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其他</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1604.06</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1221.04.10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WYYY249</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在建工程</w:t>
            </w:r>
            <w:r>
              <w:rPr>
                <w:rStyle w:val="28"/>
                <w:rFonts w:hint="eastAsia" w:asciiTheme="minorEastAsia" w:hAnsiTheme="minorEastAsia" w:eastAsiaTheme="minorEastAsia" w:cstheme="minorEastAsia"/>
                <w:sz w:val="18"/>
                <w:szCs w:val="18"/>
                <w:lang w:val="en-US" w:eastAsia="zh-CN" w:bidi="ar"/>
              </w:rPr>
              <w:t>-</w:t>
            </w:r>
            <w:r>
              <w:rPr>
                <w:rStyle w:val="29"/>
                <w:rFonts w:hint="eastAsia" w:asciiTheme="minorEastAsia" w:hAnsiTheme="minorEastAsia" w:eastAsiaTheme="minorEastAsia" w:cstheme="minorEastAsia"/>
                <w:sz w:val="18"/>
                <w:szCs w:val="18"/>
                <w:lang w:val="en-US" w:eastAsia="zh-CN" w:bidi="ar"/>
              </w:rPr>
              <w:t>建筑工程（酬金制）</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物业运营费用类型</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费用报销单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借款单</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物业运营</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其他</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1221.01.03.09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8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ZNGL096</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管理费用</w:t>
            </w:r>
            <w:r>
              <w:rPr>
                <w:rStyle w:val="28"/>
                <w:rFonts w:hint="eastAsia" w:asciiTheme="minorEastAsia" w:hAnsiTheme="minorEastAsia" w:eastAsiaTheme="minorEastAsia" w:cstheme="minorEastAsia"/>
                <w:sz w:val="18"/>
                <w:szCs w:val="18"/>
                <w:lang w:val="en-US" w:eastAsia="zh-CN" w:bidi="ar"/>
              </w:rPr>
              <w:t>-</w:t>
            </w:r>
            <w:r>
              <w:rPr>
                <w:rStyle w:val="29"/>
                <w:rFonts w:hint="eastAsia" w:asciiTheme="minorEastAsia" w:hAnsiTheme="minorEastAsia" w:eastAsiaTheme="minorEastAsia" w:cstheme="minorEastAsia"/>
                <w:sz w:val="18"/>
                <w:szCs w:val="18"/>
                <w:lang w:val="en-US" w:eastAsia="zh-CN" w:bidi="ar"/>
              </w:rPr>
              <w:t>在建工程</w:t>
            </w:r>
            <w:r>
              <w:rPr>
                <w:rStyle w:val="28"/>
                <w:rFonts w:hint="eastAsia" w:asciiTheme="minorEastAsia" w:hAnsiTheme="minorEastAsia" w:eastAsiaTheme="minorEastAsia" w:cstheme="minorEastAsia"/>
                <w:sz w:val="18"/>
                <w:szCs w:val="18"/>
                <w:lang w:val="en-US" w:eastAsia="zh-CN" w:bidi="ar"/>
              </w:rPr>
              <w:t>-</w:t>
            </w:r>
            <w:r>
              <w:rPr>
                <w:rStyle w:val="29"/>
                <w:rFonts w:hint="eastAsia" w:asciiTheme="minorEastAsia" w:hAnsiTheme="minorEastAsia" w:eastAsiaTheme="minorEastAsia" w:cstheme="minorEastAsia"/>
                <w:sz w:val="18"/>
                <w:szCs w:val="18"/>
                <w:lang w:val="en-US" w:eastAsia="zh-CN" w:bidi="ar"/>
              </w:rPr>
              <w:t>建筑工程</w:t>
            </w:r>
          </w:p>
        </w:tc>
        <w:tc>
          <w:tcPr>
            <w:tcW w:w="13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职能部门费用类型</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物品采购费用报销单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费用报销单</w:t>
            </w:r>
            <w:r>
              <w:rPr>
                <w:rStyle w:val="28"/>
                <w:rFonts w:hint="eastAsia" w:asciiTheme="minorEastAsia" w:hAnsiTheme="minorEastAsia" w:eastAsiaTheme="minorEastAsia" w:cstheme="minorEastAsia"/>
                <w:sz w:val="18"/>
                <w:szCs w:val="18"/>
                <w:lang w:val="en-US" w:eastAsia="zh-CN" w:bidi="ar"/>
              </w:rPr>
              <w:t xml:space="preserve">, </w:t>
            </w:r>
            <w:r>
              <w:rPr>
                <w:rStyle w:val="29"/>
                <w:rFonts w:hint="eastAsia" w:asciiTheme="minorEastAsia" w:hAnsiTheme="minorEastAsia" w:eastAsiaTheme="minorEastAsia" w:cstheme="minorEastAsia"/>
                <w:sz w:val="18"/>
                <w:szCs w:val="18"/>
                <w:lang w:val="en-US" w:eastAsia="zh-CN" w:bidi="ar"/>
              </w:rPr>
              <w:t>借款单</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职能部门</w:t>
            </w:r>
            <w:r>
              <w:rPr>
                <w:rStyle w:val="28"/>
                <w:rFonts w:hint="eastAsia" w:asciiTheme="minorEastAsia" w:hAnsiTheme="minorEastAsia" w:eastAsiaTheme="minorEastAsia" w:cstheme="minorEastAsia"/>
                <w:sz w:val="18"/>
                <w:szCs w:val="18"/>
                <w:lang w:val="en-US" w:eastAsia="zh-CN" w:bidi="ar"/>
              </w:rPr>
              <w:t>-</w:t>
            </w:r>
            <w:r>
              <w:rPr>
                <w:rStyle w:val="29"/>
                <w:rFonts w:hint="eastAsia" w:asciiTheme="minorEastAsia" w:hAnsiTheme="minorEastAsia" w:eastAsiaTheme="minorEastAsia" w:cstheme="minorEastAsia"/>
                <w:sz w:val="18"/>
                <w:szCs w:val="18"/>
                <w:lang w:val="en-US" w:eastAsia="zh-CN" w:bidi="ar"/>
              </w:rPr>
              <w:t>管理费用</w:t>
            </w: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其他</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1604.05</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1221.01.03.04</w:t>
            </w:r>
          </w:p>
        </w:tc>
      </w:tr>
    </w:tbl>
    <w:p>
      <w:pPr>
        <w:pageBreakBefore w:val="0"/>
        <w:widowControl/>
        <w:kinsoku/>
        <w:wordWrap/>
        <w:overflowPunct/>
        <w:topLinePunct w:val="0"/>
        <w:autoSpaceDE/>
        <w:autoSpaceDN/>
        <w:bidi w:val="0"/>
        <w:spacing w:line="360" w:lineRule="auto"/>
        <w:jc w:val="left"/>
        <w:textAlignment w:val="auto"/>
        <w:rPr>
          <w:rFonts w:hint="eastAsia"/>
          <w:b/>
          <w:bCs/>
          <w:lang w:val="en-US" w:eastAsia="zh-CN"/>
        </w:rPr>
      </w:pPr>
      <w:r>
        <w:rPr>
          <w:rFonts w:hint="eastAsia"/>
          <w:b/>
          <w:bCs/>
          <w:lang w:val="en-US" w:eastAsia="zh-CN"/>
        </w:rPr>
        <w:t>第二阶段：工程验收后，结转在建工程余额至长期待摊费用</w:t>
      </w:r>
    </w:p>
    <w:p>
      <w:pPr>
        <w:pageBreakBefore w:val="0"/>
        <w:widowControl/>
        <w:numPr>
          <w:ilvl w:val="0"/>
          <w:numId w:val="0"/>
        </w:numPr>
        <w:kinsoku/>
        <w:wordWrap/>
        <w:overflowPunct/>
        <w:topLinePunct w:val="0"/>
        <w:autoSpaceDE/>
        <w:autoSpaceDN/>
        <w:bidi w:val="0"/>
        <w:spacing w:line="360" w:lineRule="auto"/>
        <w:jc w:val="left"/>
        <w:textAlignment w:val="auto"/>
        <w:rPr>
          <w:rFonts w:hint="default"/>
          <w:lang w:val="en-US" w:eastAsia="zh-CN"/>
        </w:rPr>
      </w:pPr>
      <w:r>
        <w:rPr>
          <w:rFonts w:hint="eastAsia"/>
          <w:lang w:val="en-US" w:eastAsia="zh-CN"/>
        </w:rPr>
        <w:t>本阶段通过总账核算单操作，即结转在建工程科目余额到长期待摊费用科目。</w:t>
      </w:r>
    </w:p>
    <w:p>
      <w:pPr>
        <w:pageBreakBefore w:val="0"/>
        <w:widowControl/>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注意事项：</w:t>
      </w:r>
    </w:p>
    <w:p>
      <w:pPr>
        <w:pageBreakBefore w:val="0"/>
        <w:widowControl/>
        <w:numPr>
          <w:ilvl w:val="0"/>
          <w:numId w:val="10"/>
        </w:numPr>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不符合长期待摊费用入账标准的成本费用支出（完工后计入固定资产或其他资产科目外），不使用上述在建工程项目，应选择相关成本费用类项目；</w:t>
      </w:r>
    </w:p>
    <w:p>
      <w:pPr>
        <w:pageBreakBefore w:val="0"/>
        <w:widowControl/>
        <w:numPr>
          <w:ilvl w:val="0"/>
          <w:numId w:val="10"/>
        </w:numPr>
        <w:kinsoku/>
        <w:wordWrap/>
        <w:overflowPunct/>
        <w:topLinePunct w:val="0"/>
        <w:autoSpaceDE/>
        <w:autoSpaceDN/>
        <w:bidi w:val="0"/>
        <w:spacing w:line="360" w:lineRule="auto"/>
        <w:jc w:val="left"/>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工程验收后按合同不含税全款结转至长期待摊费用科目，举例：合同全款不含税金额为10万元，完工验收时已开票结算9.5万元，剩余0.5万元为质保金，三个月后结算，相关分录</w:t>
      </w:r>
    </w:p>
    <w:p>
      <w:pPr>
        <w:pageBreakBefore w:val="0"/>
        <w:widowControl/>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完工验收时</w:t>
      </w:r>
    </w:p>
    <w:p>
      <w:pPr>
        <w:pageBreakBefore w:val="0"/>
        <w:widowControl/>
        <w:kinsoku/>
        <w:wordWrap/>
        <w:overflowPunct/>
        <w:topLinePunct w:val="0"/>
        <w:autoSpaceDE/>
        <w:autoSpaceDN/>
        <w:bidi w:val="0"/>
        <w:spacing w:line="360" w:lineRule="auto"/>
        <w:jc w:val="left"/>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借：长期待摊费用-XXX项目  100000</w:t>
      </w:r>
    </w:p>
    <w:p>
      <w:pPr>
        <w:pageBreakBefore w:val="0"/>
        <w:widowControl/>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贷：在建工程-XXX项目    95000</w:t>
      </w:r>
    </w:p>
    <w:p>
      <w:pPr>
        <w:pageBreakBefore w:val="0"/>
        <w:widowControl/>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其他应付款-其他      5000</w:t>
      </w:r>
    </w:p>
    <w:p>
      <w:pPr>
        <w:pageBreakBefore w:val="0"/>
        <w:widowControl/>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结算质保金后</w:t>
      </w:r>
    </w:p>
    <w:p>
      <w:pPr>
        <w:pageBreakBefore w:val="0"/>
        <w:widowControl/>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借：其他应付款-其他        5000</w:t>
      </w:r>
    </w:p>
    <w:p>
      <w:pPr>
        <w:pageBreakBefore w:val="0"/>
        <w:widowControl/>
        <w:kinsoku/>
        <w:wordWrap/>
        <w:overflowPunct/>
        <w:topLinePunct w:val="0"/>
        <w:autoSpaceDE/>
        <w:autoSpaceDN/>
        <w:bidi w:val="0"/>
        <w:spacing w:line="360" w:lineRule="auto"/>
        <w:jc w:val="left"/>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 xml:space="preserve">  贷：在建工程-XXX项目     5000</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cstheme="minorEastAsia"/>
          <w:b/>
          <w:bCs/>
          <w:color w:val="auto"/>
          <w:sz w:val="21"/>
          <w:szCs w:val="21"/>
          <w:lang w:val="en-US" w:eastAsia="zh-CN"/>
        </w:rPr>
      </w:pPr>
      <w:bookmarkStart w:id="126" w:name="_Toc32430"/>
      <w:r>
        <w:rPr>
          <w:rFonts w:hint="eastAsia" w:asciiTheme="minorEastAsia" w:hAnsiTheme="minorEastAsia" w:cstheme="minorEastAsia"/>
          <w:b/>
          <w:bCs/>
          <w:color w:val="auto"/>
          <w:sz w:val="21"/>
          <w:szCs w:val="21"/>
          <w:lang w:val="en-US" w:eastAsia="zh-CN"/>
        </w:rPr>
        <w:t>4.21 华北大区社区商业事业部要报销特约服务费，请问可以添加销售费用-特约服务这个科目么？</w:t>
      </w:r>
      <w:bookmarkEnd w:id="126"/>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答：</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销售费用是核算销售部门或团队为营销产生的费用。从业务来讲，这个部门虽然可能会产生居间业务收入，但不可能产生业务经营收入。根据收入、成本匹配原则，该部门也不会产生业务经营成本。因此不能添加销售费用的费用类型。</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实际业务中应根据合同确定由哪个项目账套提供服务而产生收入，同时在该项目匹配该成本。如果收入做到大区分公司，没有将该业务下分到管理处，那么成本也应计入大区分公司。</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color w:val="auto"/>
          <w:sz w:val="21"/>
          <w:szCs w:val="21"/>
          <w:lang w:val="en-US" w:eastAsia="zh-CN"/>
        </w:rPr>
      </w:pPr>
      <w:bookmarkStart w:id="127" w:name="_Toc6731"/>
      <w:r>
        <w:rPr>
          <w:rFonts w:hint="eastAsia" w:asciiTheme="minorEastAsia" w:hAnsiTheme="minorEastAsia" w:cstheme="minorEastAsia"/>
          <w:b/>
          <w:bCs/>
          <w:color w:val="auto"/>
          <w:sz w:val="21"/>
          <w:szCs w:val="21"/>
          <w:lang w:val="en-US" w:eastAsia="zh-CN"/>
        </w:rPr>
        <w:t>4.22 管理处向水务公司支付的水费中有垃圾清运费，而管理处没有向业主收取该清运费，报销时如何操作？（2021-4-13修改费用代收代付费用类型）</w:t>
      </w:r>
      <w:bookmarkEnd w:id="127"/>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答：</w:t>
      </w:r>
    </w:p>
    <w:p>
      <w:pPr>
        <w:pageBreakBefore w:val="0"/>
        <w:widowControl w:val="0"/>
        <w:numPr>
          <w:ilvl w:val="0"/>
          <w:numId w:val="11"/>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管理处应该向业主另外收取该垃圾清运费，一期、二期核算项目见下表</w:t>
      </w:r>
    </w:p>
    <w:tbl>
      <w:tblPr>
        <w:tblStyle w:val="11"/>
        <w:tblW w:w="99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62"/>
        <w:gridCol w:w="866"/>
        <w:gridCol w:w="1721"/>
        <w:gridCol w:w="631"/>
        <w:gridCol w:w="2886"/>
        <w:gridCol w:w="28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962"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系统</w:t>
            </w:r>
          </w:p>
        </w:tc>
        <w:tc>
          <w:tcPr>
            <w:tcW w:w="866"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类型编码</w:t>
            </w:r>
          </w:p>
        </w:tc>
        <w:tc>
          <w:tcPr>
            <w:tcW w:w="1721"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类型名称</w:t>
            </w:r>
          </w:p>
        </w:tc>
        <w:tc>
          <w:tcPr>
            <w:tcW w:w="631"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报销业务</w:t>
            </w:r>
          </w:p>
        </w:tc>
        <w:tc>
          <w:tcPr>
            <w:tcW w:w="2886"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借方科目</w:t>
            </w:r>
          </w:p>
        </w:tc>
        <w:tc>
          <w:tcPr>
            <w:tcW w:w="2886"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贷方科目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二期-收费项目</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10127-1</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生活垃圾清运费-政府清运</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2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其他应付款-物业管理-垃圾处理费-2241.01.06</w:t>
            </w:r>
          </w:p>
        </w:tc>
        <w:tc>
          <w:tcPr>
            <w:tcW w:w="2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其他应付款-物业管理-垃圾处理费-2241.01.06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9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一期-费用类型</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TYFY015</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代收付项目 -垃圾处理费</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公共服务</w:t>
            </w:r>
          </w:p>
        </w:tc>
        <w:tc>
          <w:tcPr>
            <w:tcW w:w="2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垃圾处理费-2241.01.06</w:t>
            </w:r>
          </w:p>
        </w:tc>
        <w:tc>
          <w:tcPr>
            <w:tcW w:w="28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18"/>
                <w:szCs w:val="18"/>
                <w:u w:val="none"/>
              </w:rPr>
            </w:pPr>
          </w:p>
        </w:tc>
      </w:tr>
    </w:tbl>
    <w:p>
      <w:pPr>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val="0"/>
          <w:bCs w:val="0"/>
          <w:sz w:val="21"/>
          <w:szCs w:val="21"/>
          <w:lang w:val="en-US" w:eastAsia="zh-CN"/>
        </w:rPr>
      </w:pPr>
    </w:p>
    <w:p>
      <w:pPr>
        <w:pageBreakBefore w:val="0"/>
        <w:widowControl w:val="0"/>
        <w:numPr>
          <w:ilvl w:val="0"/>
          <w:numId w:val="11"/>
        </w:numPr>
        <w:kinsoku/>
        <w:wordWrap/>
        <w:overflowPunct/>
        <w:topLinePunct w:val="0"/>
        <w:autoSpaceDE/>
        <w:autoSpaceDN/>
        <w:bidi w:val="0"/>
        <w:adjustRightInd w:val="0"/>
        <w:snapToGrid w:val="0"/>
        <w:spacing w:before="0" w:after="0" w:line="360" w:lineRule="auto"/>
        <w:textAlignment w:val="auto"/>
        <w:outlineLvl w:val="9"/>
        <w:rPr>
          <w:rFonts w:hint="default" w:asciiTheme="minorEastAsia" w:hAnsi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如果物业管理合同中的管理费明确包括该垃圾清运费，或由公共区域用水产生的垃圾清运费作为“物业管理成本-公共能耗-水费”处理，一期费用类型见下表</w:t>
      </w:r>
    </w:p>
    <w:tbl>
      <w:tblPr>
        <w:tblStyle w:val="11"/>
        <w:tblW w:w="80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15"/>
        <w:gridCol w:w="2415"/>
        <w:gridCol w:w="885"/>
        <w:gridCol w:w="1950"/>
        <w:gridCol w:w="1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215"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类型编码</w:t>
            </w:r>
          </w:p>
        </w:tc>
        <w:tc>
          <w:tcPr>
            <w:tcW w:w="2415"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类型名称</w:t>
            </w:r>
          </w:p>
        </w:tc>
        <w:tc>
          <w:tcPr>
            <w:tcW w:w="885"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报销业务</w:t>
            </w:r>
          </w:p>
        </w:tc>
        <w:tc>
          <w:tcPr>
            <w:tcW w:w="1950"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借方科目</w:t>
            </w:r>
          </w:p>
        </w:tc>
        <w:tc>
          <w:tcPr>
            <w:tcW w:w="1545" w:type="dxa"/>
            <w:tcBorders>
              <w:top w:val="single" w:color="000000" w:sz="4" w:space="0"/>
              <w:left w:val="single" w:color="000000" w:sz="4" w:space="0"/>
              <w:bottom w:val="single" w:color="000000" w:sz="4" w:space="0"/>
              <w:right w:val="single" w:color="000000" w:sz="4" w:space="0"/>
            </w:tcBorders>
            <w:shd w:val="clear" w:color="000000" w:fill="C9DEF0"/>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贷方科目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JTWYRG082</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计提-能耗成本-公共能耗-水</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公共服务</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水-8401.01.07.01.01</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水费-2202.14.11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WYYY060</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能耗成本-公共能耗-水</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公共服务</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水费-2202.14.11</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水费-1123.17.01</w:t>
            </w:r>
          </w:p>
        </w:tc>
      </w:tr>
    </w:tbl>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bCs/>
          <w:color w:val="auto"/>
          <w:sz w:val="21"/>
          <w:szCs w:val="21"/>
          <w:lang w:val="en-US" w:eastAsia="zh-CN"/>
        </w:rPr>
      </w:pP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b/>
          <w:bCs/>
          <w:color w:val="auto"/>
          <w:sz w:val="21"/>
          <w:szCs w:val="21"/>
          <w:lang w:val="en-US" w:eastAsia="zh-CN"/>
        </w:rPr>
      </w:pPr>
      <w:bookmarkStart w:id="128" w:name="_Toc14423"/>
      <w:r>
        <w:rPr>
          <w:rFonts w:hint="eastAsia" w:asciiTheme="minorEastAsia" w:hAnsiTheme="minorEastAsia" w:cstheme="minorEastAsia"/>
          <w:b/>
          <w:bCs/>
          <w:color w:val="auto"/>
          <w:sz w:val="21"/>
          <w:szCs w:val="21"/>
          <w:lang w:val="en-US" w:eastAsia="zh-CN"/>
        </w:rPr>
        <w:t>4.23 向第三方转让应收账款后，收费云系统操作注意事项</w:t>
      </w:r>
      <w:bookmarkEnd w:id="128"/>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在签定债权转让协议且收到第三方转让款时，在核算上需对转出的应收账款价值（原值与计提的坏账准备）做清理，同时确认债权转让损益</w:t>
      </w:r>
      <w:r>
        <w:rPr>
          <w:rFonts w:hint="eastAsia" w:asciiTheme="minorEastAsia" w:hAnsiTheme="minorEastAsia" w:eastAsiaTheme="minorEastAsia" w:cstheme="minorEastAsia"/>
          <w:sz w:val="21"/>
          <w:szCs w:val="21"/>
        </w:rPr>
        <w:t>。</w:t>
      </w:r>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清理应收账款账面价值、收到第三方转让款及确认债权转让损益由共享资产组在EAS操作，收费云将不再推出凭证。因此在收到第三方的债权转让款以及清理应收管理费余额时，应在收费云的《缴费》单选择支付</w:t>
      </w:r>
      <w:r>
        <w:rPr>
          <w:rFonts w:hint="eastAsia"/>
        </w:rPr>
        <w:t>方式</w:t>
      </w:r>
      <w:r>
        <w:rPr>
          <w:rFonts w:hint="eastAsia" w:asciiTheme="minorEastAsia" w:hAnsiTheme="minorEastAsia" w:cstheme="minorEastAsia"/>
          <w:sz w:val="21"/>
          <w:szCs w:val="21"/>
          <w:lang w:val="en-US" w:eastAsia="zh-CN"/>
        </w:rPr>
        <w:t>为“互抵款”，该支付方式将不会向EAS推送凭证。见下图</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9"/>
        <w:rPr>
          <w:rFonts w:hint="eastAsia" w:asciiTheme="minorEastAsia" w:hAnsiTheme="minorEastAsia" w:cstheme="minorEastAsia"/>
          <w:b/>
          <w:bCs/>
          <w:color w:val="auto"/>
          <w:sz w:val="21"/>
          <w:szCs w:val="21"/>
          <w:lang w:val="en-US" w:eastAsia="zh-CN"/>
        </w:rPr>
      </w:pPr>
      <w:r>
        <w:rPr>
          <w:rFonts w:hint="eastAsia" w:asciiTheme="minorEastAsia" w:hAnsiTheme="minorEastAsia" w:cstheme="minorEastAsia"/>
          <w:b/>
          <w:bCs/>
          <w:color w:val="auto"/>
          <w:sz w:val="21"/>
          <w:szCs w:val="21"/>
          <w:lang w:val="en-US" w:eastAsia="zh-CN"/>
        </w:rPr>
        <w:drawing>
          <wp:inline distT="0" distB="0" distL="114300" distR="114300">
            <wp:extent cx="6290945" cy="1935480"/>
            <wp:effectExtent l="0" t="0" r="14605" b="7620"/>
            <wp:docPr id="31" name="图片 31" descr="16d652412c621796c512aff5c71f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d652412c621796c512aff5c71fde3"/>
                    <pic:cNvPicPr>
                      <a:picLocks noChangeAspect="1"/>
                    </pic:cNvPicPr>
                  </pic:nvPicPr>
                  <pic:blipFill>
                    <a:blip r:embed="rId27"/>
                    <a:stretch>
                      <a:fillRect/>
                    </a:stretch>
                  </pic:blipFill>
                  <pic:spPr>
                    <a:xfrm>
                      <a:off x="0" y="0"/>
                      <a:ext cx="6290945" cy="1935480"/>
                    </a:xfrm>
                    <a:prstGeom prst="rect">
                      <a:avLst/>
                    </a:prstGeom>
                  </pic:spPr>
                </pic:pic>
              </a:graphicData>
            </a:graphic>
          </wp:inline>
        </w:drawing>
      </w:r>
    </w:p>
    <w:p>
      <w:pPr>
        <w:pageBreakBefore w:val="0"/>
        <w:widowControl/>
        <w:kinsoku/>
        <w:wordWrap/>
        <w:overflowPunct/>
        <w:topLinePunct w:val="0"/>
        <w:autoSpaceDE/>
        <w:autoSpaceDN/>
        <w:bidi w:val="0"/>
        <w:spacing w:line="360" w:lineRule="auto"/>
        <w:jc w:val="left"/>
        <w:textAlignment w:val="auto"/>
        <w:rPr>
          <w:rFonts w:hint="eastAsia" w:ascii="楷体" w:hAnsi="楷体" w:eastAsia="楷体" w:cs="楷体"/>
          <w:b w:val="0"/>
          <w:bCs w:val="0"/>
          <w:sz w:val="24"/>
          <w:szCs w:val="24"/>
          <w:lang w:val="en-US" w:eastAsia="zh-CN"/>
        </w:rPr>
      </w:pP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eastAsia" w:asciiTheme="minorEastAsia" w:hAnsiTheme="minorEastAsia" w:eastAsiaTheme="minorEastAsia" w:cstheme="minorEastAsia"/>
          <w:b/>
          <w:bCs/>
          <w:sz w:val="28"/>
          <w:szCs w:val="28"/>
          <w:lang w:val="en-US" w:eastAsia="zh-CN"/>
        </w:rPr>
      </w:pPr>
      <w:bookmarkStart w:id="129" w:name="_Toc2304"/>
      <w:r>
        <w:rPr>
          <w:rFonts w:hint="eastAsia" w:asciiTheme="minorEastAsia" w:hAnsiTheme="minorEastAsia" w:eastAsiaTheme="minorEastAsia" w:cstheme="minorEastAsia"/>
          <w:b/>
          <w:bCs/>
          <w:sz w:val="28"/>
          <w:szCs w:val="28"/>
          <w:lang w:val="en-US" w:eastAsia="zh-CN"/>
        </w:rPr>
        <w:t>5 其他问题</w:t>
      </w:r>
      <w:bookmarkEnd w:id="129"/>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default" w:asciiTheme="minorEastAsia" w:hAnsiTheme="minorEastAsia" w:eastAsiaTheme="minorEastAsia" w:cstheme="minorEastAsia"/>
          <w:sz w:val="21"/>
          <w:szCs w:val="21"/>
          <w:lang w:val="en-US" w:eastAsia="zh-CN"/>
        </w:rPr>
      </w:pPr>
      <w:bookmarkStart w:id="130" w:name="_Toc5556"/>
      <w:bookmarkStart w:id="131" w:name="_Toc24137"/>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1 固定资产调拨</w:t>
      </w:r>
      <w:bookmarkEnd w:id="130"/>
      <w:r>
        <w:rPr>
          <w:rFonts w:hint="eastAsia" w:asciiTheme="minorEastAsia" w:hAnsiTheme="minorEastAsia" w:cstheme="minorEastAsia"/>
          <w:sz w:val="21"/>
          <w:szCs w:val="21"/>
          <w:lang w:val="en-US" w:eastAsia="zh-CN"/>
        </w:rPr>
        <w:t>可以按净值入账吗？</w:t>
      </w:r>
      <w:bookmarkEnd w:id="131"/>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针对折旧完了但是正常使用的固定资产是不能这样处理的。</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如果同一主体之间固定资产调拨，应该原值和折旧同时调过去，即只是换了个使用部门，这样子才对。</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非同一主体之间的固定资产调拨，则应该按销售、买入处理。如果有溢价和折价销售，则应做资产处置损益。</w:t>
      </w:r>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32" w:name="_Toc19976"/>
      <w:bookmarkStart w:id="133" w:name="_Toc29071"/>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sz w:val="21"/>
          <w:szCs w:val="21"/>
        </w:rPr>
        <w:t>证明“是否已为客户提供了装修垃圾清运服务”，审计和共享认可什么样的证据？</w:t>
      </w:r>
      <w:bookmarkEnd w:id="132"/>
      <w:bookmarkEnd w:id="133"/>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按照事务所给的意见是：小业主装修时，我们会发放给对方一个装修卡。</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我们入账的依据可以是小业主签收装修卡的签字记录。</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虽然小业主装修时间一般会持续2-3个月，但我们提供装修垃圾清运最主要的服务是装修期最早的建筑垃圾清运服务（拖运砖头、水泥等工程垃圾）。即在发放装修卡的当月计入收入，</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这个时间差异是可以容忍的。</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34" w:name="_Toc23625"/>
      <w:bookmarkStart w:id="135" w:name="_Toc909"/>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sz w:val="21"/>
          <w:szCs w:val="21"/>
        </w:rPr>
        <w:t>如果用其他管理处抬头的发票在一期或三期走了报销，并支付入账了，要如何处理？</w:t>
      </w:r>
      <w:bookmarkEnd w:id="134"/>
      <w:bookmarkEnd w:id="135"/>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答：</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这属于严重的审核错误。</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如已支付，流程无法打回，则只能调整账务，根据场景的不同分为以下三类处理办法：</w:t>
      </w:r>
    </w:p>
    <w:p>
      <w:pPr>
        <w:pStyle w:val="19"/>
        <w:pageBreakBefore w:val="0"/>
        <w:widowControl/>
        <w:numPr>
          <w:ilvl w:val="0"/>
          <w:numId w:val="12"/>
        </w:numPr>
        <w:kinsoku/>
        <w:wordWrap/>
        <w:overflowPunct/>
        <w:topLinePunct w:val="0"/>
        <w:autoSpaceDE/>
        <w:autoSpaceDN/>
        <w:bidi w:val="0"/>
        <w:spacing w:line="360" w:lineRule="auto"/>
        <w:ind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如同属一个法人组织，取得普票，则直接入在报销账套；</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b、如同属一个法人组织，但取得的是专票，则应将成本及进项税通过应付内部往来调整至发票抬头的机关</w:t>
      </w:r>
    </w:p>
    <w:p>
      <w:pPr>
        <w:pStyle w:val="19"/>
        <w:pageBreakBefore w:val="0"/>
        <w:widowControl/>
        <w:kinsoku/>
        <w:wordWrap/>
        <w:overflowPunct/>
        <w:topLinePunct w:val="0"/>
        <w:autoSpaceDE/>
        <w:autoSpaceDN/>
        <w:bidi w:val="0"/>
        <w:spacing w:line="360" w:lineRule="auto"/>
        <w:ind w:left="36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报销组织的账务处理：</w:t>
      </w:r>
    </w:p>
    <w:p>
      <w:pPr>
        <w:pStyle w:val="19"/>
        <w:pageBreakBefore w:val="0"/>
        <w:widowControl/>
        <w:kinsoku/>
        <w:wordWrap/>
        <w:overflowPunct/>
        <w:topLinePunct w:val="0"/>
        <w:autoSpaceDE/>
        <w:autoSpaceDN/>
        <w:bidi w:val="0"/>
        <w:spacing w:line="360" w:lineRule="auto"/>
        <w:ind w:left="36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借：成本负数</w:t>
      </w:r>
    </w:p>
    <w:p>
      <w:pPr>
        <w:pStyle w:val="19"/>
        <w:pageBreakBefore w:val="0"/>
        <w:widowControl/>
        <w:kinsoku/>
        <w:wordWrap/>
        <w:overflowPunct/>
        <w:topLinePunct w:val="0"/>
        <w:autoSpaceDE/>
        <w:autoSpaceDN/>
        <w:bidi w:val="0"/>
        <w:spacing w:line="360" w:lineRule="auto"/>
        <w:ind w:left="36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待认证进项税负数</w:t>
      </w:r>
    </w:p>
    <w:p>
      <w:pPr>
        <w:pStyle w:val="19"/>
        <w:pageBreakBefore w:val="0"/>
        <w:widowControl/>
        <w:kinsoku/>
        <w:wordWrap/>
        <w:overflowPunct/>
        <w:topLinePunct w:val="0"/>
        <w:autoSpaceDE/>
        <w:autoSpaceDN/>
        <w:bidi w:val="0"/>
        <w:spacing w:line="360" w:lineRule="auto"/>
        <w:ind w:left="36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借：应付内部往来-代收代付</w:t>
      </w:r>
    </w:p>
    <w:p>
      <w:pPr>
        <w:pStyle w:val="19"/>
        <w:pageBreakBefore w:val="0"/>
        <w:widowControl/>
        <w:kinsoku/>
        <w:wordWrap/>
        <w:overflowPunct/>
        <w:topLinePunct w:val="0"/>
        <w:autoSpaceDE/>
        <w:autoSpaceDN/>
        <w:bidi w:val="0"/>
        <w:spacing w:line="360" w:lineRule="auto"/>
        <w:ind w:left="36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发票抬头组织的账务处理：</w:t>
      </w:r>
    </w:p>
    <w:p>
      <w:pPr>
        <w:pStyle w:val="19"/>
        <w:pageBreakBefore w:val="0"/>
        <w:widowControl/>
        <w:kinsoku/>
        <w:wordWrap/>
        <w:overflowPunct/>
        <w:topLinePunct w:val="0"/>
        <w:autoSpaceDE/>
        <w:autoSpaceDN/>
        <w:bidi w:val="0"/>
        <w:spacing w:line="360" w:lineRule="auto"/>
        <w:ind w:left="36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借：成本+待认证进项</w:t>
      </w:r>
    </w:p>
    <w:p>
      <w:pPr>
        <w:pStyle w:val="19"/>
        <w:pageBreakBefore w:val="0"/>
        <w:widowControl/>
        <w:kinsoku/>
        <w:wordWrap/>
        <w:overflowPunct/>
        <w:topLinePunct w:val="0"/>
        <w:autoSpaceDE/>
        <w:autoSpaceDN/>
        <w:bidi w:val="0"/>
        <w:spacing w:line="360" w:lineRule="auto"/>
        <w:ind w:left="36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贷：应付内部往来-代收代付往来</w:t>
      </w:r>
    </w:p>
    <w:p>
      <w:pPr>
        <w:pStyle w:val="19"/>
        <w:pageBreakBefore w:val="0"/>
        <w:widowControl/>
        <w:numPr>
          <w:ilvl w:val="0"/>
          <w:numId w:val="13"/>
        </w:numPr>
        <w:kinsoku/>
        <w:wordWrap/>
        <w:overflowPunct/>
        <w:topLinePunct w:val="0"/>
        <w:autoSpaceDE/>
        <w:autoSpaceDN/>
        <w:bidi w:val="0"/>
        <w:spacing w:line="360" w:lineRule="auto"/>
        <w:ind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如不同属一个法人组织，取得的发票，通过应付内部往来调整成本及进项税至发票抬头机关，同上。</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36" w:name="_Toc1171"/>
      <w:bookmarkStart w:id="137" w:name="_Toc6801"/>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4 </w:t>
      </w:r>
      <w:r>
        <w:rPr>
          <w:rFonts w:hint="eastAsia" w:asciiTheme="minorEastAsia" w:hAnsiTheme="minorEastAsia" w:eastAsiaTheme="minorEastAsia" w:cstheme="minorEastAsia"/>
          <w:sz w:val="21"/>
          <w:szCs w:val="21"/>
        </w:rPr>
        <w:t>我们这边对撤场项目怎么定义的？</w:t>
      </w:r>
      <w:bookmarkEnd w:id="136"/>
      <w:bookmarkEnd w:id="137"/>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只有走了财务账套撤场申请流程的才算正式的撤场。</w:t>
      </w:r>
    </w:p>
    <w:p>
      <w:pPr>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项目撤场，没有经营业务了，但是没有走撤场流程的，我们发给共享注意审核的撤场账套清单，是不会包含这类的。</w:t>
      </w:r>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目的是防止账套数据已经清理完后，在报销</w:t>
      </w:r>
      <w:r>
        <w:rPr>
          <w:rFonts w:hint="eastAsia" w:asciiTheme="minorEastAsia" w:hAnsiTheme="minorEastAsia" w:cstheme="minorEastAsia"/>
          <w:kern w:val="0"/>
          <w:sz w:val="21"/>
          <w:szCs w:val="21"/>
          <w:lang w:val="en-US" w:eastAsia="zh-CN"/>
        </w:rPr>
        <w:t>时</w:t>
      </w:r>
      <w:r>
        <w:rPr>
          <w:rFonts w:hint="eastAsia" w:asciiTheme="minorEastAsia" w:hAnsiTheme="minorEastAsia" w:eastAsiaTheme="minorEastAsia" w:cstheme="minorEastAsia"/>
          <w:kern w:val="0"/>
          <w:sz w:val="21"/>
          <w:szCs w:val="21"/>
        </w:rPr>
        <w:t>共享又审核通过了，最终在那个账套又生成了凭证，从而造成劳动力的浪费和管控的风险。</w:t>
      </w:r>
    </w:p>
    <w:bookmarkEnd w:id="0"/>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38" w:name="_Toc5340"/>
      <w:bookmarkStart w:id="139" w:name="_Toc7489"/>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5 </w:t>
      </w:r>
      <w:r>
        <w:rPr>
          <w:rFonts w:hint="eastAsia" w:asciiTheme="minorEastAsia" w:hAnsiTheme="minorEastAsia" w:eastAsiaTheme="minorEastAsia" w:cstheme="minorEastAsia"/>
          <w:sz w:val="21"/>
          <w:szCs w:val="21"/>
        </w:rPr>
        <w:t>公司收取水电费属于转售行为，为什么账务处理的时候要通过代收代付科目，而不是确认为收入成本？</w:t>
      </w:r>
      <w:bookmarkEnd w:id="138"/>
      <w:bookmarkEnd w:id="139"/>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答：A、税法上按视同销售处理，在收款时确认增值税-销项税；</w:t>
      </w:r>
    </w:p>
    <w:p>
      <w:pPr>
        <w:pageBreakBefore w:val="0"/>
        <w:widowControl/>
        <w:kinsoku/>
        <w:wordWrap/>
        <w:overflowPunct/>
        <w:topLinePunct w:val="0"/>
        <w:autoSpaceDE/>
        <w:autoSpaceDN/>
        <w:bidi w:val="0"/>
        <w:spacing w:line="360" w:lineRule="auto"/>
        <w:ind w:firstLine="420" w:firstLineChars="200"/>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B、在会计处理上按代收代付处理，不确认收入成本，对于业主水电费，物业公司不允许有转售行为。</w:t>
      </w:r>
    </w:p>
    <w:p>
      <w:pPr>
        <w:pStyle w:val="2"/>
        <w:pageBreakBefore w:val="0"/>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rPr>
      </w:pPr>
      <w:bookmarkStart w:id="140" w:name="_Toc1407"/>
      <w:bookmarkStart w:id="141" w:name="_Toc29163"/>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6 </w:t>
      </w:r>
      <w:r>
        <w:rPr>
          <w:rFonts w:hint="eastAsia" w:asciiTheme="minorEastAsia" w:hAnsiTheme="minorEastAsia" w:eastAsiaTheme="minorEastAsia" w:cstheme="minorEastAsia"/>
          <w:sz w:val="21"/>
          <w:szCs w:val="21"/>
        </w:rPr>
        <w:t>为什么有的收费云凭证推出收电费有销项税有的又没有销项？</w:t>
      </w:r>
      <w:bookmarkEnd w:id="140"/>
      <w:bookmarkEnd w:id="141"/>
    </w:p>
    <w:p>
      <w:pPr>
        <w:pageBreakBefore w:val="0"/>
        <w:widowControl/>
        <w:kinsoku/>
        <w:wordWrap/>
        <w:overflowPunct/>
        <w:topLinePunct w:val="0"/>
        <w:autoSpaceDE/>
        <w:autoSpaceDN/>
        <w:bidi w:val="0"/>
        <w:spacing w:line="360" w:lineRule="auto"/>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答：正确的推出凭证应该有销项税，如果没推的话，属于科目映射有误，需调整账务。</w:t>
      </w:r>
    </w:p>
    <w:p>
      <w:pPr>
        <w:pStyle w:val="2"/>
        <w:pageBreakBefore w:val="0"/>
        <w:widowControl w:val="0"/>
        <w:kinsoku/>
        <w:wordWrap/>
        <w:overflowPunct/>
        <w:topLinePunct w:val="0"/>
        <w:autoSpaceDE/>
        <w:autoSpaceDN/>
        <w:bidi w:val="0"/>
        <w:adjustRightInd w:val="0"/>
        <w:snapToGrid w:val="0"/>
        <w:spacing w:before="0" w:after="0" w:line="360" w:lineRule="auto"/>
        <w:textAlignment w:val="auto"/>
        <w:rPr>
          <w:rFonts w:hint="default" w:asciiTheme="minorEastAsia" w:hAnsiTheme="minorEastAsia" w:eastAsiaTheme="minorEastAsia" w:cstheme="minorEastAsia"/>
          <w:sz w:val="21"/>
          <w:szCs w:val="21"/>
          <w:lang w:val="en-US" w:eastAsia="zh-CN"/>
        </w:rPr>
      </w:pPr>
      <w:bookmarkStart w:id="142" w:name="_Toc20852"/>
      <w:bookmarkStart w:id="143" w:name="_Toc492"/>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7 </w:t>
      </w:r>
      <w:r>
        <w:rPr>
          <w:rFonts w:hint="eastAsia" w:asciiTheme="minorEastAsia" w:hAnsiTheme="minorEastAsia" w:eastAsiaTheme="minorEastAsia" w:cstheme="minorEastAsia"/>
          <w:sz w:val="21"/>
          <w:szCs w:val="21"/>
        </w:rPr>
        <w:t>互抵</w:t>
      </w:r>
      <w:r>
        <w:rPr>
          <w:rFonts w:hint="eastAsia" w:asciiTheme="minorEastAsia" w:hAnsiTheme="minorEastAsia" w:eastAsiaTheme="minorEastAsia" w:cstheme="minorEastAsia"/>
          <w:sz w:val="21"/>
          <w:szCs w:val="21"/>
          <w:lang w:eastAsia="zh-CN"/>
        </w:rPr>
        <w:t>业务</w:t>
      </w:r>
      <w:r>
        <w:rPr>
          <w:rFonts w:hint="eastAsia" w:asciiTheme="minorEastAsia" w:hAnsiTheme="minorEastAsia" w:eastAsiaTheme="minorEastAsia" w:cstheme="minorEastAsia"/>
          <w:sz w:val="21"/>
          <w:szCs w:val="21"/>
        </w:rPr>
        <w:t>基本处理原则</w:t>
      </w:r>
      <w:bookmarkEnd w:id="142"/>
      <w:r>
        <w:rPr>
          <w:rFonts w:hint="eastAsia" w:asciiTheme="minorEastAsia" w:hAnsiTheme="minorEastAsia" w:cstheme="minorEastAsia"/>
          <w:sz w:val="21"/>
          <w:szCs w:val="21"/>
          <w:lang w:val="en-US" w:eastAsia="zh-CN"/>
        </w:rPr>
        <w:t>及核算操作指引（2022-4-30修改5.07.02）</w:t>
      </w:r>
      <w:bookmarkEnd w:id="143"/>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w:t>
      </w:r>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cstheme="minorEastAsia"/>
          <w:b/>
          <w:bCs/>
          <w:sz w:val="18"/>
          <w:szCs w:val="18"/>
          <w:lang w:val="en-US" w:eastAsia="zh-CN"/>
        </w:rPr>
      </w:pPr>
      <w:r>
        <w:rPr>
          <w:rFonts w:hint="eastAsia" w:asciiTheme="minorEastAsia" w:hAnsiTheme="minorEastAsia" w:cstheme="minorEastAsia"/>
          <w:b/>
          <w:bCs/>
          <w:sz w:val="18"/>
          <w:szCs w:val="18"/>
          <w:lang w:val="en-US" w:eastAsia="zh-CN"/>
        </w:rPr>
        <w:t>5.07.01 处理原则</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本处互抵业务指与第三方债权债务的互抵，如与客户的应收、应付或与服务提供商的应收、应付等。</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A、检查是否取得互抵合法文件，文件形式有协议、约定等，文件需双方盖公章（如签定合同的可用合同章）及负责人签字</w:t>
      </w:r>
      <w:r>
        <w:rPr>
          <w:rFonts w:hint="eastAsia" w:asciiTheme="minorEastAsia" w:hAnsiTheme="minorEastAsia" w:eastAsiaTheme="minorEastAsia" w:cstheme="minorEastAsia"/>
          <w:sz w:val="21"/>
          <w:szCs w:val="21"/>
          <w:lang w:eastAsia="zh-CN"/>
        </w:rPr>
        <w:t>；</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B、互抵指双方直接的债权、债务之间的相互抵偿</w:t>
      </w:r>
      <w:r>
        <w:rPr>
          <w:rFonts w:hint="eastAsia" w:asciiTheme="minorEastAsia" w:hAnsiTheme="minorEastAsia" w:eastAsiaTheme="minorEastAsia" w:cstheme="minorEastAsia"/>
          <w:sz w:val="21"/>
          <w:szCs w:val="21"/>
          <w:lang w:eastAsia="zh-CN"/>
        </w:rPr>
        <w:t>；</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C、根据互抵文件，确认涉及债权对应的收入和涉及债务对应的成本费用是否计提</w:t>
      </w:r>
      <w:r>
        <w:rPr>
          <w:rFonts w:hint="eastAsia" w:asciiTheme="minorEastAsia" w:hAnsiTheme="minorEastAsia" w:eastAsiaTheme="minorEastAsia" w:cstheme="minorEastAsia"/>
          <w:sz w:val="21"/>
          <w:szCs w:val="21"/>
          <w:lang w:eastAsia="zh-CN"/>
        </w:rPr>
        <w:t>。</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注意事项：</w:t>
      </w:r>
    </w:p>
    <w:p>
      <w:pPr>
        <w:pStyle w:val="19"/>
        <w:pageBreakBefore w:val="0"/>
        <w:widowControl w:val="0"/>
        <w:numPr>
          <w:ilvl w:val="0"/>
          <w:numId w:val="14"/>
        </w:numPr>
        <w:kinsoku/>
        <w:wordWrap/>
        <w:overflowPunct/>
        <w:topLinePunct w:val="0"/>
        <w:autoSpaceDE/>
        <w:autoSpaceDN/>
        <w:bidi w:val="0"/>
        <w:spacing w:line="360" w:lineRule="auto"/>
        <w:ind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债权计提收入应同时计提销项税</w:t>
      </w:r>
      <w:r>
        <w:rPr>
          <w:rFonts w:hint="eastAsia" w:asciiTheme="minorEastAsia" w:hAnsiTheme="minorEastAsia" w:eastAsiaTheme="minorEastAsia" w:cstheme="minorEastAsia"/>
          <w:sz w:val="21"/>
          <w:szCs w:val="21"/>
          <w:lang w:eastAsia="zh-CN"/>
        </w:rPr>
        <w:t>；</w:t>
      </w:r>
    </w:p>
    <w:p>
      <w:pPr>
        <w:pStyle w:val="19"/>
        <w:pageBreakBefore w:val="0"/>
        <w:widowControl w:val="0"/>
        <w:numPr>
          <w:ilvl w:val="0"/>
          <w:numId w:val="14"/>
        </w:numPr>
        <w:kinsoku/>
        <w:wordWrap/>
        <w:overflowPunct/>
        <w:topLinePunct w:val="0"/>
        <w:autoSpaceDE/>
        <w:autoSpaceDN/>
        <w:bidi w:val="0"/>
        <w:spacing w:line="360" w:lineRule="auto"/>
        <w:ind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如果对方无法提供发票，可用互抵文件作为成本计提的原始凭证，年底做</w:t>
      </w:r>
      <w:r>
        <w:rPr>
          <w:rFonts w:hint="eastAsia" w:asciiTheme="minorEastAsia" w:hAnsiTheme="minorEastAsia" w:cstheme="minorEastAsia"/>
          <w:sz w:val="21"/>
          <w:szCs w:val="21"/>
          <w:lang w:val="en-US" w:eastAsia="zh-CN"/>
        </w:rPr>
        <w:t>企业</w:t>
      </w:r>
      <w:r>
        <w:rPr>
          <w:rFonts w:hint="eastAsia" w:asciiTheme="minorEastAsia" w:hAnsiTheme="minorEastAsia" w:eastAsiaTheme="minorEastAsia" w:cstheme="minorEastAsia"/>
          <w:sz w:val="21"/>
          <w:szCs w:val="21"/>
        </w:rPr>
        <w:t>所得税纳税调整</w:t>
      </w:r>
      <w:r>
        <w:rPr>
          <w:rFonts w:hint="eastAsia" w:asciiTheme="minorEastAsia" w:hAnsiTheme="minorEastAsia" w:eastAsiaTheme="minorEastAsia" w:cstheme="minorEastAsia"/>
          <w:sz w:val="21"/>
          <w:szCs w:val="21"/>
          <w:lang w:eastAsia="zh-CN"/>
        </w:rPr>
        <w:t>。</w:t>
      </w:r>
    </w:p>
    <w:p>
      <w:pPr>
        <w:pStyle w:val="19"/>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cstheme="minorEastAsia"/>
          <w:b/>
          <w:bCs/>
          <w:sz w:val="18"/>
          <w:szCs w:val="18"/>
          <w:lang w:val="en-US" w:eastAsia="zh-CN"/>
        </w:rPr>
      </w:pPr>
      <w:r>
        <w:rPr>
          <w:rFonts w:hint="eastAsia" w:asciiTheme="minorEastAsia" w:hAnsiTheme="minorEastAsia" w:cstheme="minorEastAsia"/>
          <w:b/>
          <w:bCs/>
          <w:sz w:val="18"/>
          <w:szCs w:val="18"/>
          <w:lang w:val="en-US" w:eastAsia="zh-CN"/>
        </w:rPr>
        <w:t>5.07.02 核算操作指引</w:t>
      </w:r>
    </w:p>
    <w:p>
      <w:pPr>
        <w:pStyle w:val="19"/>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1）债权债务互抵通过提交总账核算单实现账务处理；</w:t>
      </w:r>
    </w:p>
    <w:p>
      <w:pPr>
        <w:pStyle w:val="19"/>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2）互抵业务确认后（互抵协议生效，以房抵款业务还需完成网签或房产过户），业务端需要先在收费云系统或CMP系统结转原债权债务，其中</w:t>
      </w:r>
      <w:r>
        <w:rPr>
          <w:rFonts w:hint="eastAsia" w:asciiTheme="minorEastAsia" w:hAnsiTheme="minorEastAsia" w:cstheme="minorEastAsia"/>
          <w:color w:val="FF0000"/>
          <w:sz w:val="21"/>
          <w:szCs w:val="21"/>
          <w:lang w:val="en-US" w:eastAsia="zh-CN"/>
        </w:rPr>
        <w:t>收费云录入缴费方式为“互抵款”</w:t>
      </w:r>
      <w:r>
        <w:rPr>
          <w:rFonts w:hint="eastAsia" w:asciiTheme="minorEastAsia" w:hAnsiTheme="minorEastAsia" w:cstheme="minorEastAsia"/>
          <w:sz w:val="21"/>
          <w:szCs w:val="21"/>
          <w:lang w:val="en-US" w:eastAsia="zh-CN"/>
        </w:rPr>
        <w:t>、</w:t>
      </w:r>
      <w:r>
        <w:rPr>
          <w:rFonts w:hint="eastAsia" w:asciiTheme="minorEastAsia" w:hAnsiTheme="minorEastAsia" w:cstheme="minorEastAsia"/>
          <w:color w:val="FF0000"/>
          <w:sz w:val="21"/>
          <w:szCs w:val="21"/>
          <w:lang w:val="en-US" w:eastAsia="zh-CN"/>
        </w:rPr>
        <w:t>CMP结算方式为“以房抵款-无需付款”</w:t>
      </w:r>
      <w:r>
        <w:rPr>
          <w:rFonts w:hint="eastAsia" w:asciiTheme="minorEastAsia" w:hAnsiTheme="minorEastAsia" w:cstheme="minorEastAsia"/>
          <w:sz w:val="21"/>
          <w:szCs w:val="21"/>
          <w:lang w:val="en-US" w:eastAsia="zh-CN"/>
        </w:rPr>
        <w:t>；</w:t>
      </w:r>
    </w:p>
    <w:p>
      <w:pPr>
        <w:pStyle w:val="19"/>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3）</w:t>
      </w:r>
      <w:r>
        <w:rPr>
          <w:rFonts w:hint="eastAsia" w:asciiTheme="minorEastAsia" w:hAnsiTheme="minorEastAsia" w:cstheme="minorEastAsia"/>
          <w:b/>
          <w:bCs/>
          <w:color w:val="FF0000"/>
          <w:sz w:val="21"/>
          <w:szCs w:val="21"/>
          <w:lang w:val="en-US" w:eastAsia="zh-CN"/>
        </w:rPr>
        <w:t>以房抵款</w:t>
      </w:r>
      <w:r>
        <w:rPr>
          <w:rFonts w:hint="eastAsia" w:asciiTheme="minorEastAsia" w:hAnsiTheme="minorEastAsia" w:cstheme="minorEastAsia"/>
          <w:sz w:val="21"/>
          <w:szCs w:val="21"/>
          <w:lang w:val="en-US" w:eastAsia="zh-CN"/>
        </w:rPr>
        <w:t>业务由业务会计通过邮件通知共享资产组（cwgxzichan@cc-pg.cn），上传附件（包括互抵协议、业务发生证明资料，如公司审批/决议文件、购房网签、房产证、互抵涉及的EAS余额表和明细账等），邮件抄送区域事业部财总，共享资产组审核资料无误后，发起总账核算单进行债权债务互抵；</w:t>
      </w:r>
    </w:p>
    <w:p>
      <w:pPr>
        <w:pStyle w:val="19"/>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4）非以房抵款业务由业务会计发起总账核算单进行债权债务互抵。</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144" w:name="_Toc31501"/>
      <w:bookmarkStart w:id="145" w:name="_Toc31583"/>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 xml:space="preserve">8 </w:t>
      </w:r>
      <w:r>
        <w:rPr>
          <w:rFonts w:hint="eastAsia" w:asciiTheme="minorEastAsia" w:hAnsiTheme="minorEastAsia" w:eastAsiaTheme="minorEastAsia" w:cstheme="minorEastAsia"/>
          <w:sz w:val="21"/>
          <w:szCs w:val="21"/>
        </w:rPr>
        <w:t>关于项目账套如何查找上级机关账套，发票抬头的准确性，以及如何挂内部往来的问题</w:t>
      </w:r>
      <w:bookmarkEnd w:id="144"/>
      <w:bookmarkEnd w:id="145"/>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答：关于这个问题需要弄清楚以下几个方面</w:t>
      </w:r>
    </w:p>
    <w:p>
      <w:pPr>
        <w:pageBreakBefore w:val="0"/>
        <w:widowControl w:val="0"/>
        <w:numPr>
          <w:ilvl w:val="0"/>
          <w:numId w:val="15"/>
        </w:numPr>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简单读懂合并范围</w:t>
      </w:r>
    </w:p>
    <w:p>
      <w:pPr>
        <w:pageBreakBefore w:val="0"/>
        <w:kinsoku/>
        <w:wordWrap/>
        <w:overflowPunct/>
        <w:topLinePunct w:val="0"/>
        <w:autoSpaceDE/>
        <w:autoSpaceDN/>
        <w:bidi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4857750" cy="2772410"/>
            <wp:effectExtent l="0" t="0" r="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stretch>
                      <a:fillRect/>
                    </a:stretch>
                  </pic:blipFill>
                  <pic:spPr>
                    <a:xfrm>
                      <a:off x="0" y="0"/>
                      <a:ext cx="4857750" cy="2772410"/>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从“战略管理-法定合并-报表接收-报表接收”路径进入“报表接收”后选“合并集团”，该合并范围按“法人公司-分公司-具体项目/部门”以树形排列方式将集团并表的主册主体及相关项目进行了列示。各账套的从属关系是，一个法人只有一个法人机关账套，一个分公司只有一个分公司机关账套，分公司机关账套可以同时是法人机关账套（即法人与分公司共用一个机关账套），法人/分公司下辖具体业务或特别账套。</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还有一个重要的合并范围是“酬金制项目”，账套也是按上述规则排列。</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B、机关账套</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所谓机关账套就是核算注册主体（法人公司、分公司）基本事务的账套，注册主体基本核算事务包括：缴纳税金、缴纳工会经费、分摊管理费、分配利润（法人账套）、计提投资收益（法人账套）等等</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机关账套，有以下特征：</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有银行账户</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与多个账套有往来（主要是承接项目以及作为下级项目的中转承接）</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分摊管理费(即管理费成本负数）</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机关账套一般都是指定的，具体指定会有专门的统计并下发，如对机关账套不确定的，最终解释权在报表组</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项目发票抬头</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对项目发票抬头有不确定的，最简便的方式是从合并范围-合并集团中找到项目所属的注册注体即分公司或法人，此处有特殊情况：</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 xml:space="preserve"> 深圳分公司未注册，使用集团的发票抬头HNBB虽是深圳分公司的机关账套，但不是报税账套（报税账套将由总账组收集后统一发布）；</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 xml:space="preserve"> SZ59（深圳西区）金泓凯旋城管理处是独立的酬金制注册主体，虽然上级机关是HNBB但报税账套是自己，发票抬头也是金泓凯旋城管理处，另外SZ5901（深圳西区）金泓凯旋城停车场是包干制项目，机关账套HNBB，报税账套是SZ59，发票抬头也是金泓凯旋城管理处</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b/>
          <w:bCs/>
          <w:color w:val="FF0000"/>
          <w:sz w:val="21"/>
          <w:szCs w:val="21"/>
        </w:rPr>
        <w:t>另外，对于以管理处为单独注册的项目，在未办法合并纳税手续的情况下，一般报税主体是该管理处，发票抬头也是该管理处，对于这些特殊项目会做特别统计</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bCs/>
          <w:color w:val="FF0000"/>
          <w:sz w:val="21"/>
          <w:szCs w:val="21"/>
          <w:lang w:val="en-US" w:eastAsia="zh-CN"/>
        </w:rPr>
      </w:pPr>
      <w:r>
        <w:rPr>
          <w:rFonts w:hint="eastAsia" w:asciiTheme="minorEastAsia" w:hAnsiTheme="minorEastAsia" w:eastAsiaTheme="minorEastAsia" w:cstheme="minorEastAsia"/>
          <w:b/>
          <w:bCs/>
          <w:color w:val="FF0000"/>
          <w:sz w:val="21"/>
          <w:szCs w:val="21"/>
          <w:lang w:val="en-US" w:eastAsia="zh-CN"/>
        </w:rPr>
        <w:t>注意事项：项目属于哪个分公司合并范围，以签合同的分公司主体为准，如果发现项目合并范围不是签合同的分公司，应第一时间与报表组反馈，以更新合并范围。</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内部往来挂账规则</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各项目、部门账套可以看作注册主体的一个独立核算单位，不具备独立对外进行业务往来的资格，所有的对外事项都是以主册主体的名义进行，因此，内部往来一般的挂账规则如下：</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各业务板块（物业、楼宇...)内项目间往来通过自已的上级机关账套作为中转</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各业务板块（物业、楼宇...)内机关账套之间可以相互挂往来</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各业务板块项目账套（法人账套除外）之间，在上述规则下，通过各板块总部机关账套作为中转</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业务板块总部机关账套如下</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物业：CCPG00</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楼宇：BS00</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电梯：DT00</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一应长藤科技：CCPG150103</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各法人账套之间可以互挂往来</w:t>
      </w:r>
    </w:p>
    <w:p>
      <w:pPr>
        <w:pStyle w:val="2"/>
        <w:pageBreakBefore w:val="0"/>
        <w:widowControl w:val="0"/>
        <w:numPr>
          <w:ilvl w:val="0"/>
          <w:numId w:val="0"/>
        </w:numPr>
        <w:kinsoku/>
        <w:wordWrap/>
        <w:overflowPunct/>
        <w:topLinePunct w:val="0"/>
        <w:autoSpaceDE/>
        <w:autoSpaceDN/>
        <w:bidi w:val="0"/>
        <w:adjustRightInd w:val="0"/>
        <w:snapToGrid w:val="0"/>
        <w:spacing w:before="0" w:after="0" w:line="360" w:lineRule="auto"/>
        <w:textAlignment w:val="auto"/>
        <w:rPr>
          <w:rFonts w:hint="eastAsia" w:asciiTheme="minorEastAsia" w:hAnsiTheme="minorEastAsia" w:eastAsiaTheme="minorEastAsia" w:cstheme="minorEastAsia"/>
          <w:sz w:val="21"/>
          <w:szCs w:val="21"/>
          <w:lang w:val="en-US" w:eastAsia="zh-CN"/>
        </w:rPr>
      </w:pPr>
      <w:bookmarkStart w:id="146" w:name="_Toc11991"/>
      <w:bookmarkStart w:id="147" w:name="_Toc22611"/>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9 关于计提应收管理费坏账准备时坏账年限划分的说明</w:t>
      </w:r>
      <w:bookmarkEnd w:id="146"/>
      <w:bookmarkEnd w:id="147"/>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9.1 有辅助核算年度的坏账年限</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计算逻辑：以辅助核算年度余额为限，对比所属年度发生额，如果发生额大于余额，则发生额年度为坏账年限；如果所属年度发生额小于余额，则一直向后一年取数，直到所属年度发生额之和与余额相等。如果余额负数则统一算入辅助核算所属年度</w:t>
      </w:r>
    </w:p>
    <w:tbl>
      <w:tblPr>
        <w:tblStyle w:val="11"/>
        <w:tblW w:w="99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80"/>
        <w:gridCol w:w="1740"/>
        <w:gridCol w:w="780"/>
        <w:gridCol w:w="850"/>
        <w:gridCol w:w="1200"/>
        <w:gridCol w:w="1200"/>
        <w:gridCol w:w="1200"/>
        <w:gridCol w:w="20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0" w:hRule="atLeast"/>
        </w:trPr>
        <w:tc>
          <w:tcPr>
            <w:tcW w:w="9932" w:type="dxa"/>
            <w:gridSpan w:val="8"/>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应收账款坏账准备测算逻辑：2020年3月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0" w:hRule="atLeast"/>
        </w:trPr>
        <w:tc>
          <w:tcPr>
            <w:tcW w:w="880"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i w:val="0"/>
                <w:color w:val="000000"/>
                <w:sz w:val="21"/>
                <w:szCs w:val="21"/>
                <w:u w:val="none"/>
              </w:rPr>
            </w:pPr>
          </w:p>
        </w:tc>
        <w:tc>
          <w:tcPr>
            <w:tcW w:w="1740"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明细科目</w:t>
            </w:r>
          </w:p>
        </w:tc>
        <w:tc>
          <w:tcPr>
            <w:tcW w:w="780"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辅助核算</w:t>
            </w:r>
          </w:p>
        </w:tc>
        <w:tc>
          <w:tcPr>
            <w:tcW w:w="850"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余额</w:t>
            </w:r>
          </w:p>
        </w:tc>
        <w:tc>
          <w:tcPr>
            <w:tcW w:w="1200"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2019年4月-2020年3月借方发生额</w:t>
            </w:r>
          </w:p>
        </w:tc>
        <w:tc>
          <w:tcPr>
            <w:tcW w:w="1200"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2018年4月-2019年3月借方发生额</w:t>
            </w:r>
          </w:p>
        </w:tc>
        <w:tc>
          <w:tcPr>
            <w:tcW w:w="1200"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2017年4月-2018年3月借方发生额</w:t>
            </w:r>
          </w:p>
        </w:tc>
        <w:tc>
          <w:tcPr>
            <w:tcW w:w="208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坏账年限划分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举例1</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left"/>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应收账款-物业费（辅助核算：小业主）</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2018年</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400</w:t>
            </w:r>
          </w:p>
        </w:tc>
        <w:tc>
          <w:tcPr>
            <w:tcW w:w="2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left"/>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1-2年：500。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举例2</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left"/>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应收账款-物业费（辅助核算：小业主）</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2018年</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700</w:t>
            </w:r>
          </w:p>
        </w:tc>
        <w:tc>
          <w:tcPr>
            <w:tcW w:w="2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left"/>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1-2年：400。2-3年：100。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举例3</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left"/>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应收账款-物业费（辅助核算：小业主）</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2018年</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w:t>
            </w:r>
          </w:p>
        </w:tc>
        <w:tc>
          <w:tcPr>
            <w:tcW w:w="20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1-2年：-500。</w:t>
            </w:r>
          </w:p>
        </w:tc>
      </w:tr>
    </w:tbl>
    <w:p>
      <w:pPr>
        <w:pageBreakBefore w:val="0"/>
        <w:numPr>
          <w:ilvl w:val="0"/>
          <w:numId w:val="0"/>
        </w:numPr>
        <w:kinsoku/>
        <w:wordWrap/>
        <w:overflowPunct/>
        <w:topLinePunct w:val="0"/>
        <w:autoSpaceDE/>
        <w:autoSpaceDN/>
        <w:bidi w:val="0"/>
        <w:spacing w:line="360" w:lineRule="auto"/>
        <w:ind w:leftChars="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cstheme="minorEastAsia"/>
          <w:sz w:val="21"/>
          <w:szCs w:val="21"/>
          <w:lang w:val="en-US" w:eastAsia="zh-CN"/>
        </w:rPr>
        <w:t>0</w:t>
      </w:r>
      <w:r>
        <w:rPr>
          <w:rFonts w:hint="eastAsia" w:asciiTheme="minorEastAsia" w:hAnsiTheme="minorEastAsia" w:eastAsiaTheme="minorEastAsia" w:cstheme="minorEastAsia"/>
          <w:sz w:val="21"/>
          <w:szCs w:val="21"/>
          <w:lang w:val="en-US" w:eastAsia="zh-CN"/>
        </w:rPr>
        <w:t>9.2 无辅助核算年度的坏账年限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计算逻辑：以辅助核算年度余额为上限，对比所属年度发生额，如果发生额大于余额，则发生额年度为坏账年限；如果所属年度发生额小于余额，则一直向后一年取数，直到所属年度发生额之和与余额相等。如果余额负数则统一算入1年以内。</w:t>
      </w:r>
    </w:p>
    <w:tbl>
      <w:tblPr>
        <w:tblStyle w:val="11"/>
        <w:tblW w:w="99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22"/>
        <w:gridCol w:w="1501"/>
        <w:gridCol w:w="602"/>
        <w:gridCol w:w="1304"/>
        <w:gridCol w:w="1304"/>
        <w:gridCol w:w="1304"/>
        <w:gridCol w:w="3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9935" w:type="dxa"/>
            <w:gridSpan w:val="7"/>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其他应收款坏账准备测算逻辑：2020年3月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0" w:hRule="atLeast"/>
        </w:trPr>
        <w:tc>
          <w:tcPr>
            <w:tcW w:w="82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pageBreakBefore w:val="0"/>
              <w:kinsoku/>
              <w:wordWrap/>
              <w:overflowPunct/>
              <w:topLinePunct w:val="0"/>
              <w:autoSpaceDE/>
              <w:autoSpaceDN/>
              <w:bidi w:val="0"/>
              <w:spacing w:line="360" w:lineRule="auto"/>
              <w:jc w:val="center"/>
              <w:rPr>
                <w:rFonts w:hint="eastAsia" w:asciiTheme="minorEastAsia" w:hAnsiTheme="minorEastAsia" w:eastAsiaTheme="minorEastAsia" w:cstheme="minorEastAsia"/>
                <w:i w:val="0"/>
                <w:color w:val="000000"/>
                <w:sz w:val="21"/>
                <w:szCs w:val="21"/>
                <w:u w:val="none"/>
              </w:rPr>
            </w:pPr>
          </w:p>
        </w:tc>
        <w:tc>
          <w:tcPr>
            <w:tcW w:w="1501"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明细科目</w:t>
            </w:r>
          </w:p>
        </w:tc>
        <w:tc>
          <w:tcPr>
            <w:tcW w:w="60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余额</w:t>
            </w:r>
          </w:p>
        </w:tc>
        <w:tc>
          <w:tcPr>
            <w:tcW w:w="1304"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2019年4月-2020年3月借方发生额</w:t>
            </w:r>
          </w:p>
        </w:tc>
        <w:tc>
          <w:tcPr>
            <w:tcW w:w="1304"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2018年4月-2019年3月借方发生额</w:t>
            </w:r>
          </w:p>
        </w:tc>
        <w:tc>
          <w:tcPr>
            <w:tcW w:w="1304"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2017年4月-2018年3月借方发生额</w:t>
            </w:r>
          </w:p>
        </w:tc>
        <w:tc>
          <w:tcPr>
            <w:tcW w:w="3098"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坏账年限划分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举例1</w:t>
            </w:r>
          </w:p>
        </w:tc>
        <w:tc>
          <w:tcPr>
            <w:tcW w:w="15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其他应收款</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500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100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600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400</w:t>
            </w:r>
          </w:p>
        </w:tc>
        <w:tc>
          <w:tcPr>
            <w:tcW w:w="3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left"/>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1年以内：100。1-2年：400。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举例2</w:t>
            </w:r>
          </w:p>
        </w:tc>
        <w:tc>
          <w:tcPr>
            <w:tcW w:w="15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其他应收款</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500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700</w:t>
            </w:r>
          </w:p>
        </w:tc>
        <w:tc>
          <w:tcPr>
            <w:tcW w:w="3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left"/>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1年以内：</w:t>
            </w:r>
            <w:r>
              <w:rPr>
                <w:rFonts w:hint="eastAsia" w:asciiTheme="minorEastAsia" w:hAnsiTheme="minorEastAsia" w:cstheme="minorEastAsia"/>
                <w:i w:val="0"/>
                <w:color w:val="000000"/>
                <w:kern w:val="0"/>
                <w:sz w:val="21"/>
                <w:szCs w:val="21"/>
                <w:u w:val="none"/>
                <w:lang w:val="en-US" w:eastAsia="zh-CN" w:bidi="ar"/>
              </w:rPr>
              <w:t>2</w:t>
            </w:r>
            <w:r>
              <w:rPr>
                <w:rFonts w:hint="eastAsia" w:asciiTheme="minorEastAsia" w:hAnsiTheme="minorEastAsia" w:eastAsiaTheme="minorEastAsia" w:cstheme="minorEastAsia"/>
                <w:i w:val="0"/>
                <w:color w:val="000000"/>
                <w:kern w:val="0"/>
                <w:sz w:val="21"/>
                <w:szCs w:val="21"/>
                <w:u w:val="none"/>
                <w:lang w:val="en-US" w:eastAsia="zh-CN" w:bidi="ar"/>
              </w:rPr>
              <w:t>00。1-2年：200。2-3年：100。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8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举例3</w:t>
            </w:r>
          </w:p>
        </w:tc>
        <w:tc>
          <w:tcPr>
            <w:tcW w:w="15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spacing w:line="360" w:lineRule="auto"/>
              <w:jc w:val="center"/>
              <w:textAlignment w:val="bottom"/>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其他应收款</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-500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w:t>
            </w:r>
          </w:p>
        </w:tc>
        <w:tc>
          <w:tcPr>
            <w:tcW w:w="30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1年以内：-500。</w:t>
            </w:r>
          </w:p>
        </w:tc>
      </w:tr>
    </w:tbl>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sz w:val="21"/>
          <w:szCs w:val="21"/>
          <w:lang w:val="en-US" w:eastAsia="zh-CN"/>
        </w:rPr>
      </w:pPr>
      <w:bookmarkStart w:id="148" w:name="_Toc21626"/>
      <w:r>
        <w:rPr>
          <w:rFonts w:hint="eastAsia" w:asciiTheme="minorEastAsia" w:hAnsiTheme="minorEastAsia" w:eastAsiaTheme="minorEastAsia" w:cstheme="minorEastAsia"/>
          <w:b/>
          <w:bCs/>
          <w:sz w:val="21"/>
          <w:szCs w:val="21"/>
          <w:lang w:val="en-US" w:eastAsia="zh-CN"/>
        </w:rPr>
        <w:t>5.10 诉讼费与律师咨询费的区分</w:t>
      </w:r>
      <w:bookmarkEnd w:id="148"/>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诉讼费是指当事人为向人民法院提起诉讼程序应当缴纳的费用，包括案件受理费、申请费和其他诉讼费用。诉讼费支付给法院（也可交由律师转付给法院），并由法院开具印有“财政部监制”章的专用票据（不是发票）；由律师事务所或其他商事组织开出的发票一定不是诉讼费。法院开具的专用票据见下图</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eastAsia="zh-CN"/>
        </w:rPr>
      </w:pPr>
      <w:r>
        <w:rPr>
          <w:rFonts w:hint="eastAsia" w:asciiTheme="minorEastAsia" w:hAnsiTheme="minorEastAsia" w:eastAsiaTheme="minorEastAsia" w:cstheme="minorEastAsia"/>
          <w:b w:val="0"/>
          <w:i w:val="0"/>
          <w:caps w:val="0"/>
          <w:color w:val="333333"/>
          <w:spacing w:val="0"/>
          <w:sz w:val="21"/>
          <w:szCs w:val="21"/>
          <w:shd w:val="clear" w:fill="FFFFFF"/>
          <w:lang w:eastAsia="zh-CN"/>
        </w:rPr>
        <w:drawing>
          <wp:inline distT="0" distB="0" distL="114300" distR="114300">
            <wp:extent cx="5751830" cy="2436495"/>
            <wp:effectExtent l="0" t="0" r="1270" b="1905"/>
            <wp:docPr id="11" name="图片 11" descr="诉讼费单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诉讼费单据"/>
                    <pic:cNvPicPr>
                      <a:picLocks noChangeAspect="1"/>
                    </pic:cNvPicPr>
                  </pic:nvPicPr>
                  <pic:blipFill>
                    <a:blip r:embed="rId29"/>
                    <a:stretch>
                      <a:fillRect/>
                    </a:stretch>
                  </pic:blipFill>
                  <pic:spPr>
                    <a:xfrm>
                      <a:off x="0" y="0"/>
                      <a:ext cx="5751830" cy="243649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333333"/>
          <w:spacing w:val="0"/>
          <w:sz w:val="21"/>
          <w:szCs w:val="21"/>
          <w:shd w:val="clear" w:fill="FFFFFF"/>
          <w:lang w:eastAsia="zh-CN"/>
        </w:rPr>
      </w:pPr>
      <w:r>
        <w:rPr>
          <w:rFonts w:hint="eastAsia" w:asciiTheme="minorEastAsia" w:hAnsiTheme="minorEastAsia" w:eastAsiaTheme="minorEastAsia" w:cstheme="minorEastAsia"/>
          <w:b w:val="0"/>
          <w:i w:val="0"/>
          <w:caps w:val="0"/>
          <w:color w:val="333333"/>
          <w:spacing w:val="0"/>
          <w:sz w:val="21"/>
          <w:szCs w:val="21"/>
          <w:shd w:val="clear" w:fill="FFFFFF"/>
          <w:lang w:eastAsia="zh-CN"/>
        </w:rPr>
        <w:drawing>
          <wp:inline distT="0" distB="0" distL="114300" distR="114300">
            <wp:extent cx="5750560" cy="2885440"/>
            <wp:effectExtent l="0" t="0" r="2540" b="10160"/>
            <wp:docPr id="12" name="图片 12" descr="诉讼费单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诉讼费单据2"/>
                    <pic:cNvPicPr>
                      <a:picLocks noChangeAspect="1"/>
                    </pic:cNvPicPr>
                  </pic:nvPicPr>
                  <pic:blipFill>
                    <a:blip r:embed="rId30"/>
                    <a:stretch>
                      <a:fillRect/>
                    </a:stretch>
                  </pic:blipFill>
                  <pic:spPr>
                    <a:xfrm>
                      <a:off x="0" y="0"/>
                      <a:ext cx="5750560" cy="288544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其他诉讼费主要包括：a勘验费、b鉴定费、c公告费、d翻译费、e证人、鉴定人、翻译人员在人民法院决定开庭日期出庭的交通费、住宿费、生活费和误工补贴费、f采用诉讼保全措施的申请费和实际支出的费用、g、执行判决、裁定或者调解协议所实际支出的费用。</w:t>
      </w:r>
    </w:p>
    <w:p>
      <w:pPr>
        <w:pageBreakBefore w:val="0"/>
        <w:widowControl w:val="0"/>
        <w:kinsoku/>
        <w:wordWrap/>
        <w:overflowPunct/>
        <w:topLinePunct w:val="0"/>
        <w:autoSpaceDE/>
        <w:autoSpaceDN/>
        <w:bidi w:val="0"/>
        <w:spacing w:line="360" w:lineRule="auto"/>
        <w:textAlignment w:val="auto"/>
        <w:rPr>
          <w:rFonts w:hint="default" w:ascii="Arial" w:hAnsi="Arial" w:eastAsia="宋体" w:cs="Arial"/>
          <w:b w:val="0"/>
          <w:i w:val="0"/>
          <w:caps w:val="0"/>
          <w:color w:val="666666"/>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注意：上述费用的发票或相关业务单据可以由实际提供服务的其他单位或组织开出，但前提必须是诉讼程序中所发生的支出。</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eastAsia" w:asciiTheme="minorEastAsia" w:hAnsiTheme="minorEastAsia" w:eastAsiaTheme="minorEastAsia" w:cstheme="minorEastAsia"/>
          <w:b/>
          <w:bCs/>
          <w:sz w:val="21"/>
          <w:szCs w:val="21"/>
          <w:lang w:val="en-US" w:eastAsia="zh-CN"/>
        </w:rPr>
      </w:pPr>
      <w:bookmarkStart w:id="149" w:name="_Toc6700"/>
      <w:r>
        <w:rPr>
          <w:rFonts w:hint="eastAsia" w:asciiTheme="minorEastAsia" w:hAnsiTheme="minorEastAsia" w:eastAsiaTheme="minorEastAsia" w:cstheme="minorEastAsia"/>
          <w:b/>
          <w:bCs/>
          <w:sz w:val="21"/>
          <w:szCs w:val="21"/>
          <w:lang w:val="en-US" w:eastAsia="zh-CN"/>
        </w:rPr>
        <w:t>5.11 工程造价咨询费可以使用公共维修资金支付吗？</w:t>
      </w:r>
      <w:bookmarkEnd w:id="149"/>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答：</w:t>
      </w:r>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工程造价咨询是大额工程合同签定前，由专业第三方对工程造价进行评估产生的费用，是该工程项目的成本组成部分。以深圳地方《深圳市物业专项维修资金管理规定》为例，管理规定中明确了该费用可以使用公维资金支付，见下</w:t>
      </w:r>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...第十二条第（二）款“业主委员会将维修方案提交业主大会或者相关业主表决。预算费用超过10万元的，表决前须经第三方机构对工程费用预算等进行审核，审核费用计入本次维修支出”。</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sz w:val="21"/>
          <w:szCs w:val="21"/>
          <w:lang w:val="en-US" w:eastAsia="zh-CN"/>
        </w:rPr>
      </w:pPr>
      <w:bookmarkStart w:id="150" w:name="_Toc276"/>
      <w:r>
        <w:rPr>
          <w:rFonts w:hint="eastAsia" w:asciiTheme="minorEastAsia" w:hAnsiTheme="minorEastAsia" w:eastAsiaTheme="minorEastAsia" w:cstheme="minorEastAsia"/>
          <w:b/>
          <w:bCs/>
          <w:sz w:val="21"/>
          <w:szCs w:val="21"/>
          <w:lang w:val="en-US" w:eastAsia="zh-CN"/>
        </w:rPr>
        <w:t>5.12 物业合同条款中不同的能耗协议对账务处理的影响是什么？</w:t>
      </w:r>
      <w:bookmarkEnd w:id="150"/>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答：</w:t>
      </w:r>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举例：1个小区12月份总表显示用了3度电，其中2度是小业主用的，1度倒挤是公摊/耗损的。</w:t>
      </w:r>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实际成本价：0.8元/度；</w:t>
      </w:r>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我们向小业主收取的单价：1元/度</w:t>
      </w:r>
    </w:p>
    <w:p>
      <w:pPr>
        <w:pageBreakBefore w:val="0"/>
        <w:widowControl w:val="0"/>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default" w:ascii="Arial" w:hAnsi="Arial" w:eastAsia="宋体" w:cs="Arial"/>
          <w:b w:val="0"/>
          <w:i w:val="0"/>
          <w:caps w:val="0"/>
          <w:color w:val="333333"/>
          <w:spacing w:val="0"/>
          <w:sz w:val="21"/>
          <w:szCs w:val="21"/>
          <w:shd w:val="clear" w:fill="FFFFFF"/>
          <w:lang w:val="en-US" w:eastAsia="zh-CN"/>
        </w:rPr>
        <w:t>注意：公共用电度数=总电数-小业主用电度数合计</w:t>
      </w:r>
    </w:p>
    <w:p>
      <w:pPr>
        <w:pageBreakBefore w:val="0"/>
        <w:widowControl w:val="0"/>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情况1：协议约定与实际成本的差额作为补充公摊能耗成本</w:t>
      </w:r>
    </w:p>
    <w:p>
      <w:pPr>
        <w:pageBreakBefore w:val="0"/>
        <w:widowControl w:val="0"/>
        <w:kinsoku/>
        <w:wordWrap/>
        <w:overflowPunct/>
        <w:topLinePunct w:val="0"/>
        <w:autoSpaceDE/>
        <w:autoSpaceDN/>
        <w:bidi w:val="0"/>
        <w:spacing w:line="360" w:lineRule="auto"/>
        <w:textAlignment w:val="auto"/>
      </w:pPr>
      <w:r>
        <w:drawing>
          <wp:inline distT="0" distB="0" distL="114300" distR="114300">
            <wp:extent cx="6298565" cy="1096645"/>
            <wp:effectExtent l="0" t="0" r="6985"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1"/>
                    <a:stretch>
                      <a:fillRect/>
                    </a:stretch>
                  </pic:blipFill>
                  <pic:spPr>
                    <a:xfrm>
                      <a:off x="0" y="0"/>
                      <a:ext cx="6298565" cy="1096645"/>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rPr>
          <w:rFonts w:hint="default"/>
          <w:lang w:val="en-US" w:eastAsia="zh-CN"/>
        </w:rPr>
      </w:pPr>
      <w:r>
        <w:rPr>
          <w:rFonts w:hint="eastAsia"/>
          <w:lang w:val="en-US" w:eastAsia="zh-CN"/>
        </w:rPr>
        <w:t>情况2：协议约定成本价为0.8元，然后再收0.2元作为能耗服务费</w:t>
      </w:r>
    </w:p>
    <w:p>
      <w:pPr>
        <w:pageBreakBefore w:val="0"/>
        <w:widowControl w:val="0"/>
        <w:kinsoku/>
        <w:wordWrap/>
        <w:overflowPunct/>
        <w:topLinePunct w:val="0"/>
        <w:autoSpaceDE/>
        <w:autoSpaceDN/>
        <w:bidi w:val="0"/>
        <w:spacing w:line="360" w:lineRule="auto"/>
        <w:textAlignment w:val="auto"/>
      </w:pPr>
      <w:r>
        <w:drawing>
          <wp:inline distT="0" distB="0" distL="114300" distR="114300">
            <wp:extent cx="6292215" cy="1203325"/>
            <wp:effectExtent l="0" t="0" r="13335" b="158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2"/>
                    <a:stretch>
                      <a:fillRect/>
                    </a:stretch>
                  </pic:blipFill>
                  <pic:spPr>
                    <a:xfrm>
                      <a:off x="0" y="0"/>
                      <a:ext cx="6292215" cy="1203325"/>
                    </a:xfrm>
                    <a:prstGeom prst="rect">
                      <a:avLst/>
                    </a:prstGeom>
                    <a:noFill/>
                    <a:ln>
                      <a:noFill/>
                    </a:ln>
                  </pic:spPr>
                </pic:pic>
              </a:graphicData>
            </a:graphic>
          </wp:inline>
        </w:drawing>
      </w:r>
    </w:p>
    <w:p>
      <w:pPr>
        <w:pageBreakBefore w:val="0"/>
        <w:widowControl w:val="0"/>
        <w:kinsoku/>
        <w:wordWrap/>
        <w:overflowPunct/>
        <w:topLinePunct w:val="0"/>
        <w:autoSpaceDE/>
        <w:autoSpaceDN/>
        <w:bidi w:val="0"/>
        <w:spacing w:line="360" w:lineRule="auto"/>
        <w:textAlignment w:val="auto"/>
        <w:rPr>
          <w:rFonts w:hint="default"/>
          <w:lang w:val="en-US" w:eastAsia="zh-CN"/>
        </w:rPr>
      </w:pPr>
      <w:r>
        <w:rPr>
          <w:rFonts w:hint="eastAsia"/>
          <w:lang w:val="en-US" w:eastAsia="zh-CN"/>
        </w:rPr>
        <w:t>情况3：啥都没有，就要收钱</w:t>
      </w:r>
    </w:p>
    <w:p>
      <w:pPr>
        <w:pageBreakBefore w:val="0"/>
        <w:widowControl w:val="0"/>
        <w:kinsoku/>
        <w:wordWrap/>
        <w:overflowPunct/>
        <w:topLinePunct w:val="0"/>
        <w:autoSpaceDE/>
        <w:autoSpaceDN/>
        <w:bidi w:val="0"/>
        <w:spacing w:line="360" w:lineRule="auto"/>
        <w:textAlignment w:val="auto"/>
        <w:rPr>
          <w:rFonts w:hint="default"/>
          <w:lang w:val="en-US" w:eastAsia="zh-CN"/>
        </w:rPr>
      </w:pPr>
      <w:r>
        <w:drawing>
          <wp:inline distT="0" distB="0" distL="114300" distR="114300">
            <wp:extent cx="6295390" cy="1101090"/>
            <wp:effectExtent l="0" t="0" r="10160" b="381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33"/>
                    <a:stretch>
                      <a:fillRect/>
                    </a:stretch>
                  </pic:blipFill>
                  <pic:spPr>
                    <a:xfrm>
                      <a:off x="0" y="0"/>
                      <a:ext cx="6295390" cy="110109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sz w:val="21"/>
          <w:szCs w:val="21"/>
          <w:lang w:val="en-US" w:eastAsia="zh-CN"/>
        </w:rPr>
      </w:pPr>
      <w:bookmarkStart w:id="151" w:name="_Toc12569"/>
      <w:r>
        <w:rPr>
          <w:rFonts w:hint="eastAsia" w:asciiTheme="minorEastAsia" w:hAnsiTheme="minorEastAsia" w:eastAsiaTheme="minorEastAsia" w:cstheme="minorEastAsia"/>
          <w:b/>
          <w:bCs/>
          <w:sz w:val="21"/>
          <w:szCs w:val="21"/>
          <w:lang w:val="en-US" w:eastAsia="zh-CN"/>
        </w:rPr>
        <w:t>5.13 银行收取的手续费、咨询函等收费如果无法取得发票如何入账？</w:t>
      </w:r>
      <w:bookmarkEnd w:id="151"/>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可根据真实发生的银行扣款回单作为入账依据，但是扣款单不能作为企业所得税的抵扣依据，如果事后不能及时取得发票将有税务风险。因此需要积极向银行索要发票，一般向</w:t>
      </w:r>
      <w:r>
        <w:rPr>
          <w:rFonts w:hint="eastAsia" w:ascii="Arial" w:hAnsi="Arial" w:eastAsia="宋体" w:cs="Arial"/>
          <w:b/>
          <w:bCs/>
          <w:i w:val="0"/>
          <w:caps w:val="0"/>
          <w:color w:val="FF0000"/>
          <w:spacing w:val="0"/>
          <w:sz w:val="21"/>
          <w:szCs w:val="21"/>
          <w:highlight w:val="none"/>
          <w:shd w:val="clear" w:fill="FFFFFF"/>
          <w:lang w:val="en-US" w:eastAsia="zh-CN"/>
        </w:rPr>
        <w:t>开户行</w:t>
      </w:r>
      <w:r>
        <w:rPr>
          <w:rFonts w:hint="eastAsia" w:ascii="Arial" w:hAnsi="Arial" w:eastAsia="宋体" w:cs="Arial"/>
          <w:b w:val="0"/>
          <w:i w:val="0"/>
          <w:caps w:val="0"/>
          <w:color w:val="333333"/>
          <w:spacing w:val="0"/>
          <w:sz w:val="21"/>
          <w:szCs w:val="21"/>
          <w:highlight w:val="none"/>
          <w:shd w:val="clear" w:fill="FFFFFF"/>
          <w:lang w:val="en-US" w:eastAsia="zh-CN"/>
        </w:rPr>
        <w:t>结算部门或结算窗口申请开具发票。</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银行手续费发票相关政策文件依据：</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1）根据财税【2016】36号文附件1中金融服务注释部分规定，银行手续费属于直接收费金融服务，根据《发票管理办法》第十九条的规定，销售商品、提供服务以及从事其他经营活动的单位和个人，对外发生经营业务收取款项，收款方应当向付款方开具发票。</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2）《企业所得税税前扣除凭证管理办法》第九条 “企业在境内发生的支出项目属于增值税应税项目（以下简称“应税项目”）的，对方为已办理税务登记的增值税纳税人，其支出以发票（包括按照规定由税务机关代开的发票）作为税前扣除凭证”。</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sz w:val="21"/>
          <w:szCs w:val="21"/>
          <w:lang w:val="en-US" w:eastAsia="zh-CN"/>
        </w:rPr>
      </w:pPr>
      <w:bookmarkStart w:id="152" w:name="_Toc3265"/>
      <w:r>
        <w:rPr>
          <w:rFonts w:hint="eastAsia" w:asciiTheme="minorEastAsia" w:hAnsiTheme="minorEastAsia" w:eastAsiaTheme="minorEastAsia" w:cstheme="minorEastAsia"/>
          <w:b/>
          <w:bCs/>
          <w:sz w:val="21"/>
          <w:szCs w:val="21"/>
          <w:lang w:val="en-US" w:eastAsia="zh-CN"/>
        </w:rPr>
        <w:t>5.1</w:t>
      </w:r>
      <w:r>
        <w:rPr>
          <w:rFonts w:hint="eastAsia" w:asciiTheme="minorEastAsia" w:hAnsiTheme="minorEastAsia" w:cstheme="minorEastAsia"/>
          <w:b/>
          <w:bCs/>
          <w:sz w:val="21"/>
          <w:szCs w:val="21"/>
          <w:lang w:val="en-US" w:eastAsia="zh-CN"/>
        </w:rPr>
        <w:t>4</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cstheme="minorEastAsia"/>
          <w:b/>
          <w:bCs/>
          <w:sz w:val="21"/>
          <w:szCs w:val="21"/>
          <w:lang w:val="en-US" w:eastAsia="zh-CN"/>
        </w:rPr>
        <w:t>关于工程支出记入长期待费用后判定摊销年限的指引</w:t>
      </w:r>
      <w:bookmarkEnd w:id="152"/>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答：</w:t>
      </w:r>
    </w:p>
    <w:p>
      <w:pPr>
        <w:pageBreakBefore w:val="0"/>
        <w:widowControl w:val="0"/>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集团核算规则对长期待费用的认定标准为：金额5万以上，资产收益期在3年及以上的工程支出。</w:t>
      </w:r>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现对各类工程支出资产收益期年限的判定作出指引如下：</w:t>
      </w:r>
    </w:p>
    <w:p>
      <w:pPr>
        <w:pageBreakBefore w:val="0"/>
        <w:widowControl w:val="0"/>
        <w:numPr>
          <w:ilvl w:val="0"/>
          <w:numId w:val="16"/>
        </w:numPr>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已足额提取折旧的固定资产的改建支出：收益期为3年限；</w:t>
      </w:r>
    </w:p>
    <w:p>
      <w:pPr>
        <w:pageBreakBefore w:val="0"/>
        <w:widowControl w:val="0"/>
        <w:numPr>
          <w:ilvl w:val="0"/>
          <w:numId w:val="16"/>
        </w:numPr>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经营租入资产的改良支出 ：收益期3-5年；</w:t>
      </w:r>
    </w:p>
    <w:p>
      <w:pPr>
        <w:pageBreakBefore w:val="0"/>
        <w:widowControl w:val="0"/>
        <w:numPr>
          <w:ilvl w:val="0"/>
          <w:numId w:val="16"/>
        </w:numPr>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固定资产大修理支出：收益期为3年；</w:t>
      </w:r>
    </w:p>
    <w:p>
      <w:pPr>
        <w:pageBreakBefore w:val="0"/>
        <w:widowControl w:val="0"/>
        <w:numPr>
          <w:ilvl w:val="0"/>
          <w:numId w:val="16"/>
        </w:numPr>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上述支出类型以外的，形成实物的支出（如楼栋瓷砖整改或节能改造等等）：收益期为3-5年；</w:t>
      </w:r>
    </w:p>
    <w:p>
      <w:pPr>
        <w:pageBreakBefore w:val="0"/>
        <w:widowControl w:val="0"/>
        <w:numPr>
          <w:ilvl w:val="0"/>
          <w:numId w:val="16"/>
        </w:numPr>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上述支出类型以外的，没有形成实物的支出（如外墙清洗工程）：收益期为3-5年；</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Theme="minorEastAsia" w:hAnsiTheme="minorEastAsia" w:eastAsiaTheme="minorEastAsia" w:cstheme="minorEastAsia"/>
          <w:b/>
          <w:bCs/>
          <w:sz w:val="21"/>
          <w:szCs w:val="21"/>
          <w:lang w:val="en-US" w:eastAsia="zh-CN"/>
        </w:rPr>
      </w:pPr>
      <w:bookmarkStart w:id="153" w:name="_Toc10453"/>
      <w:r>
        <w:rPr>
          <w:rFonts w:hint="eastAsia" w:asciiTheme="minorEastAsia" w:hAnsiTheme="minorEastAsia" w:eastAsiaTheme="minorEastAsia" w:cstheme="minorEastAsia"/>
          <w:b/>
          <w:bCs/>
          <w:sz w:val="21"/>
          <w:szCs w:val="21"/>
          <w:lang w:val="en-US" w:eastAsia="zh-CN"/>
        </w:rPr>
        <w:t>5.1</w:t>
      </w:r>
      <w:r>
        <w:rPr>
          <w:rFonts w:hint="eastAsia" w:asciiTheme="minorEastAsia" w:hAnsiTheme="minorEastAsia" w:cstheme="minorEastAsia"/>
          <w:b/>
          <w:bCs/>
          <w:sz w:val="21"/>
          <w:szCs w:val="21"/>
          <w:lang w:val="en-US" w:eastAsia="zh-CN"/>
        </w:rPr>
        <w:t>5</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cstheme="minorEastAsia"/>
          <w:b/>
          <w:bCs/>
          <w:sz w:val="21"/>
          <w:szCs w:val="21"/>
          <w:lang w:val="en-US" w:eastAsia="zh-CN"/>
        </w:rPr>
        <w:t>关于差旅费报销期限的规定</w:t>
      </w:r>
      <w:bookmarkEnd w:id="153"/>
    </w:p>
    <w:p>
      <w:pPr>
        <w:pageBreakBefore w:val="0"/>
        <w:widowControl w:val="0"/>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答：</w:t>
      </w:r>
    </w:p>
    <w:p>
      <w:pPr>
        <w:pageBreakBefore w:val="0"/>
        <w:widowControl w:val="0"/>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为全面、及时核算成本费用，现对差旅费报销期限作以下限定：</w:t>
      </w:r>
    </w:p>
    <w:p>
      <w:pPr>
        <w:pageBreakBefore w:val="0"/>
        <w:widowControl w:val="0"/>
        <w:numPr>
          <w:ilvl w:val="0"/>
          <w:numId w:val="17"/>
        </w:numPr>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当年生额的差旅费（以发票开票日期为准）最迟在当年12月25日发起报销，</w:t>
      </w:r>
      <w:r>
        <w:rPr>
          <w:rFonts w:hint="eastAsia" w:ascii="Arial" w:hAnsi="Arial" w:eastAsia="宋体" w:cs="Arial"/>
          <w:b/>
          <w:bCs/>
          <w:i w:val="0"/>
          <w:caps w:val="0"/>
          <w:color w:val="FF0000"/>
          <w:spacing w:val="0"/>
          <w:sz w:val="21"/>
          <w:szCs w:val="21"/>
          <w:shd w:val="clear" w:fill="FFFFFF"/>
          <w:lang w:val="en-US" w:eastAsia="zh-CN"/>
        </w:rPr>
        <w:t>具体最迟发起报销日期</w:t>
      </w:r>
      <w:r>
        <w:rPr>
          <w:rFonts w:hint="eastAsia" w:ascii="Arial" w:hAnsi="Arial" w:eastAsia="宋体" w:cs="Arial"/>
          <w:b w:val="0"/>
          <w:i w:val="0"/>
          <w:caps w:val="0"/>
          <w:color w:val="333333"/>
          <w:spacing w:val="0"/>
          <w:sz w:val="21"/>
          <w:szCs w:val="21"/>
          <w:shd w:val="clear" w:fill="FFFFFF"/>
          <w:lang w:val="en-US" w:eastAsia="zh-CN"/>
        </w:rPr>
        <w:t>以财务年结通知为准；</w:t>
      </w:r>
    </w:p>
    <w:p>
      <w:pPr>
        <w:pageBreakBefore w:val="0"/>
        <w:widowControl w:val="0"/>
        <w:numPr>
          <w:ilvl w:val="0"/>
          <w:numId w:val="17"/>
        </w:numPr>
        <w:kinsoku/>
        <w:wordWrap/>
        <w:overflowPunct/>
        <w:topLinePunct w:val="0"/>
        <w:autoSpaceDE/>
        <w:autoSpaceDN/>
        <w:bidi w:val="0"/>
        <w:spacing w:line="360" w:lineRule="auto"/>
        <w:textAlignment w:val="auto"/>
        <w:rPr>
          <w:rFonts w:hint="default"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当年发生的差旅费因财务年结关闭报销系统未能在当年发起报销的（即发票开票日期</w:t>
      </w:r>
      <w:r>
        <w:rPr>
          <w:rFonts w:hint="default" w:ascii="Arial" w:hAnsi="Arial" w:eastAsia="宋体" w:cs="Arial"/>
          <w:b w:val="0"/>
          <w:i w:val="0"/>
          <w:caps w:val="0"/>
          <w:color w:val="333333"/>
          <w:spacing w:val="0"/>
          <w:sz w:val="21"/>
          <w:szCs w:val="21"/>
          <w:shd w:val="clear" w:fill="FFFFFF"/>
          <w:lang w:val="en-US" w:eastAsia="zh-CN"/>
        </w:rPr>
        <w:t>在</w:t>
      </w:r>
      <w:r>
        <w:rPr>
          <w:rFonts w:hint="eastAsia" w:ascii="Arial" w:hAnsi="Arial" w:eastAsia="宋体" w:cs="Arial"/>
          <w:b w:val="0"/>
          <w:i w:val="0"/>
          <w:caps w:val="0"/>
          <w:color w:val="333333"/>
          <w:spacing w:val="0"/>
          <w:sz w:val="21"/>
          <w:szCs w:val="21"/>
          <w:shd w:val="clear" w:fill="FFFFFF"/>
          <w:lang w:val="en-US" w:eastAsia="zh-CN"/>
        </w:rPr>
        <w:t>报销</w:t>
      </w:r>
      <w:r>
        <w:rPr>
          <w:rFonts w:hint="default" w:ascii="Arial" w:hAnsi="Arial" w:eastAsia="宋体" w:cs="Arial"/>
          <w:b w:val="0"/>
          <w:i w:val="0"/>
          <w:caps w:val="0"/>
          <w:color w:val="333333"/>
          <w:spacing w:val="0"/>
          <w:sz w:val="21"/>
          <w:szCs w:val="21"/>
          <w:shd w:val="clear" w:fill="FFFFFF"/>
          <w:lang w:val="en-US" w:eastAsia="zh-CN"/>
        </w:rPr>
        <w:t>系统</w:t>
      </w:r>
      <w:r>
        <w:rPr>
          <w:rFonts w:hint="eastAsia" w:ascii="Arial" w:hAnsi="Arial" w:eastAsia="宋体" w:cs="Arial"/>
          <w:b w:val="0"/>
          <w:i w:val="0"/>
          <w:caps w:val="0"/>
          <w:color w:val="333333"/>
          <w:spacing w:val="0"/>
          <w:sz w:val="21"/>
          <w:szCs w:val="21"/>
          <w:shd w:val="clear" w:fill="FFFFFF"/>
          <w:lang w:val="en-US" w:eastAsia="zh-CN"/>
        </w:rPr>
        <w:t>关</w:t>
      </w:r>
      <w:r>
        <w:rPr>
          <w:rFonts w:hint="default" w:ascii="Arial" w:hAnsi="Arial" w:eastAsia="宋体" w:cs="Arial"/>
          <w:b w:val="0"/>
          <w:i w:val="0"/>
          <w:caps w:val="0"/>
          <w:color w:val="333333"/>
          <w:spacing w:val="0"/>
          <w:sz w:val="21"/>
          <w:szCs w:val="21"/>
          <w:shd w:val="clear" w:fill="FFFFFF"/>
          <w:lang w:val="en-US" w:eastAsia="zh-CN"/>
        </w:rPr>
        <w:t>闭</w:t>
      </w:r>
      <w:r>
        <w:rPr>
          <w:rFonts w:hint="eastAsia" w:ascii="Arial" w:hAnsi="Arial" w:eastAsia="宋体" w:cs="Arial"/>
          <w:b w:val="0"/>
          <w:i w:val="0"/>
          <w:caps w:val="0"/>
          <w:color w:val="333333"/>
          <w:spacing w:val="0"/>
          <w:sz w:val="21"/>
          <w:szCs w:val="21"/>
          <w:shd w:val="clear" w:fill="FFFFFF"/>
          <w:lang w:val="en-US" w:eastAsia="zh-CN"/>
        </w:rPr>
        <w:t>日</w:t>
      </w:r>
      <w:r>
        <w:rPr>
          <w:rFonts w:hint="default" w:ascii="Arial" w:hAnsi="Arial" w:eastAsia="宋体" w:cs="Arial"/>
          <w:b w:val="0"/>
          <w:i w:val="0"/>
          <w:caps w:val="0"/>
          <w:color w:val="333333"/>
          <w:spacing w:val="0"/>
          <w:sz w:val="21"/>
          <w:szCs w:val="21"/>
          <w:shd w:val="clear" w:fill="FFFFFF"/>
          <w:lang w:val="en-US" w:eastAsia="zh-CN"/>
        </w:rPr>
        <w:t>至12月31日之间</w:t>
      </w:r>
      <w:r>
        <w:rPr>
          <w:rFonts w:hint="eastAsia" w:ascii="Arial" w:hAnsi="Arial" w:eastAsia="宋体" w:cs="Arial"/>
          <w:b w:val="0"/>
          <w:i w:val="0"/>
          <w:caps w:val="0"/>
          <w:color w:val="333333"/>
          <w:spacing w:val="0"/>
          <w:sz w:val="21"/>
          <w:szCs w:val="21"/>
          <w:shd w:val="clear" w:fill="FFFFFF"/>
          <w:lang w:val="en-US" w:eastAsia="zh-CN"/>
        </w:rPr>
        <w:t>），最迟在次</w:t>
      </w:r>
      <w:r>
        <w:rPr>
          <w:rFonts w:hint="default" w:ascii="Arial" w:hAnsi="Arial" w:eastAsia="宋体" w:cs="Arial"/>
          <w:b w:val="0"/>
          <w:i w:val="0"/>
          <w:caps w:val="0"/>
          <w:color w:val="333333"/>
          <w:spacing w:val="0"/>
          <w:sz w:val="21"/>
          <w:szCs w:val="21"/>
          <w:shd w:val="clear" w:fill="FFFFFF"/>
          <w:lang w:val="en-US" w:eastAsia="zh-CN"/>
        </w:rPr>
        <w:t>年5月30日</w:t>
      </w:r>
      <w:r>
        <w:rPr>
          <w:rFonts w:hint="eastAsia" w:ascii="Arial" w:hAnsi="Arial" w:eastAsia="宋体" w:cs="Arial"/>
          <w:b w:val="0"/>
          <w:i w:val="0"/>
          <w:caps w:val="0"/>
          <w:color w:val="333333"/>
          <w:spacing w:val="0"/>
          <w:sz w:val="21"/>
          <w:szCs w:val="21"/>
          <w:shd w:val="clear" w:fill="FFFFFF"/>
          <w:lang w:val="en-US" w:eastAsia="zh-CN"/>
        </w:rPr>
        <w:t>发起报销。</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Arial" w:hAnsi="Arial" w:eastAsia="宋体" w:cs="Arial"/>
          <w:b w:val="0"/>
          <w:i w:val="0"/>
          <w:caps w:val="0"/>
          <w:color w:val="333333"/>
          <w:spacing w:val="0"/>
          <w:sz w:val="21"/>
          <w:szCs w:val="21"/>
          <w:shd w:val="clear" w:fill="FFFFFF"/>
          <w:lang w:val="en-US" w:eastAsia="zh-CN"/>
        </w:rPr>
      </w:pPr>
      <w:r>
        <w:rPr>
          <w:rFonts w:hint="eastAsia" w:ascii="Arial" w:hAnsi="Arial" w:eastAsia="宋体" w:cs="Arial"/>
          <w:b w:val="0"/>
          <w:i w:val="0"/>
          <w:caps w:val="0"/>
          <w:color w:val="333333"/>
          <w:spacing w:val="0"/>
          <w:sz w:val="21"/>
          <w:szCs w:val="21"/>
          <w:shd w:val="clear" w:fill="FFFFFF"/>
          <w:lang w:val="en-US" w:eastAsia="zh-CN"/>
        </w:rPr>
        <w:t>其他费用报销的期限参照差旅费报销期限。</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54" w:name="_Toc12517"/>
      <w:r>
        <w:rPr>
          <w:rFonts w:hint="eastAsia" w:asciiTheme="minorEastAsia" w:hAnsiTheme="minorEastAsia" w:cstheme="minorEastAsia"/>
          <w:b/>
          <w:bCs/>
          <w:color w:val="auto"/>
          <w:sz w:val="21"/>
          <w:szCs w:val="21"/>
          <w:lang w:val="en-US" w:eastAsia="zh-CN"/>
        </w:rPr>
        <w:t>5.16 事业部成立时未确认职能组织与基本经营单元的合并范围，但因业务发展需求已发生相关支出，发票抬头为非后期确认的上级合并主体名称，如何报销处理？</w:t>
      </w:r>
      <w:bookmarkEnd w:id="154"/>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两种方式：</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直接在发票的所在组织报销；</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）发票</w:t>
      </w:r>
      <w:r>
        <w:rPr>
          <w:rFonts w:hint="eastAsia" w:asciiTheme="minorEastAsia" w:hAnsiTheme="minorEastAsia" w:eastAsiaTheme="minorEastAsia" w:cstheme="minorEastAsia"/>
          <w:sz w:val="21"/>
          <w:szCs w:val="21"/>
          <w:lang w:val="en-US" w:eastAsia="zh-CN"/>
        </w:rPr>
        <w:t>退回重开</w:t>
      </w:r>
      <w:r>
        <w:rPr>
          <w:rFonts w:hint="eastAsia" w:asciiTheme="minorEastAsia" w:hAnsiTheme="minorEastAsia" w:cstheme="minorEastAsia"/>
          <w:sz w:val="21"/>
          <w:szCs w:val="21"/>
          <w:lang w:val="en-US" w:eastAsia="zh-CN"/>
        </w:rPr>
        <w:t>。</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55" w:name="_Toc1918"/>
      <w:r>
        <w:rPr>
          <w:rFonts w:hint="eastAsia" w:asciiTheme="minorEastAsia" w:hAnsiTheme="minorEastAsia" w:cstheme="minorEastAsia"/>
          <w:b/>
          <w:bCs/>
          <w:color w:val="auto"/>
          <w:sz w:val="21"/>
          <w:szCs w:val="21"/>
          <w:lang w:val="en-US" w:eastAsia="zh-CN"/>
        </w:rPr>
        <w:t>5.17 “2241.98其他应付款-代收付政府补贴”科目跟“8112.03其他收益-与企业日常活动相关的政府补助”科目的使用区别是什么？</w:t>
      </w:r>
      <w:bookmarkEnd w:id="155"/>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答</w:t>
      </w:r>
    </w:p>
    <w:p>
      <w:pPr>
        <w:pageBreakBefore w:val="0"/>
        <w:widowControl w:val="0"/>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通过两个方面判断具体使用哪个科目：</w:t>
      </w:r>
    </w:p>
    <w:p>
      <w:pPr>
        <w:pageBreakBefore w:val="0"/>
        <w:widowControl w:val="0"/>
        <w:numPr>
          <w:ilvl w:val="0"/>
          <w:numId w:val="18"/>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如果该补贴款是用于补贴企业前期已发生的费用，无需我司再支出的，就一定是按其他收益核算；</w:t>
      </w:r>
    </w:p>
    <w:p>
      <w:pPr>
        <w:pageBreakBefore w:val="0"/>
        <w:widowControl w:val="0"/>
        <w:numPr>
          <w:ilvl w:val="0"/>
          <w:numId w:val="18"/>
        </w:numPr>
        <w:kinsoku/>
        <w:wordWrap/>
        <w:overflowPunct/>
        <w:topLinePunct w:val="0"/>
        <w:autoSpaceDE/>
        <w:autoSpaceDN/>
        <w:bidi w:val="0"/>
        <w:spacing w:line="360" w:lineRule="auto"/>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如果需要再支出的，根据政府文件中对补贴的最终受益方和我司是否对该补贴有自由支配权进行判断：</w:t>
      </w:r>
    </w:p>
    <w:p>
      <w:pPr>
        <w:pageBreakBefore w:val="0"/>
        <w:widowControl w:val="0"/>
        <w:numPr>
          <w:ilvl w:val="0"/>
          <w:numId w:val="19"/>
        </w:numPr>
        <w:kinsoku/>
        <w:wordWrap/>
        <w:overflowPunct/>
        <w:topLinePunct w:val="0"/>
        <w:autoSpaceDE/>
        <w:autoSpaceDN/>
        <w:bidi w:val="0"/>
        <w:spacing w:line="360" w:lineRule="auto"/>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如果受益方不是我司或我司无自由支配权，属于代收代付性质，入2241.98科目，例如政府文件已指定支付给某人/某公司或虽未明确指定具体对象但已给出满足具体条件的人或公司，并且某人或某公司无需向我司提供服务或商品；</w:t>
      </w:r>
    </w:p>
    <w:p>
      <w:pPr>
        <w:pageBreakBefore w:val="0"/>
        <w:widowControl w:val="0"/>
        <w:numPr>
          <w:ilvl w:val="0"/>
          <w:numId w:val="19"/>
        </w:numPr>
        <w:kinsoku/>
        <w:wordWrap/>
        <w:overflowPunct/>
        <w:topLinePunct w:val="0"/>
        <w:autoSpaceDE/>
        <w:autoSpaceDN/>
        <w:bidi w:val="0"/>
        <w:spacing w:line="360" w:lineRule="auto"/>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如果受益方是我司，属于其他收益性质，入8112.03科目，例如政府文件规定补贴的用途，未规定具体使用方式，我司可用于购买服务、商品或发放员工福利等。</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举例1：当地政府对企业引进符合政策条件的人才发放补贴，发放流程为由企业提供人才名单进行申报，政府根据上报的明单将补贴款拨付给企业，规定由企业转发给所申报的员工。</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分析：</w:t>
      </w:r>
      <w:r>
        <w:rPr>
          <w:rFonts w:hint="eastAsia" w:ascii="楷体" w:hAnsi="楷体" w:eastAsia="楷体" w:cs="楷体"/>
          <w:sz w:val="21"/>
          <w:szCs w:val="21"/>
          <w:lang w:val="en-US" w:eastAsia="zh-CN"/>
        </w:rPr>
        <w:t>该政策实质上是政府为了吸引特定人才而支付的补贴，补贴对象是引进聘用行为本身，与人才提供劳动服务后企业支付报酬无关，受益方为具体员工，我司对补贴款无支配权，属于代收付政府补贴。</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举例2：当地政府为减轻特定行业或特定企业用工负担，对满足条件的企业按标准发放补贴，文件规定补贴款用于支付员工福利，对使用方式未作限定。</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分析：</w:t>
      </w:r>
      <w:r>
        <w:rPr>
          <w:rFonts w:hint="eastAsia" w:ascii="楷体" w:hAnsi="楷体" w:eastAsia="楷体" w:cs="楷体"/>
          <w:sz w:val="21"/>
          <w:szCs w:val="21"/>
          <w:lang w:val="en-US" w:eastAsia="zh-CN"/>
        </w:rPr>
        <w:t>该政策实质上是政府对企业用工成本的补贴，企业可自由支配补贴款，为最终受益方，因此作为其他收益核算。</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举例3：当地政府发放N个月的生活垃圾清运补贴给物业公司用于补贴小区业主应支付的垃圾清运费，文件规定支付方式为：该期间已向管理处缴纳了生活垃圾清运费的小区业主，由物业公司退回给业主，未向管理处缴纳垃圾清运费的小区业主，用于抵补业主该期间应缴纳的生活垃圾清运费。</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楷体" w:hAnsi="楷体" w:eastAsia="楷体" w:cs="楷体"/>
          <w:sz w:val="21"/>
          <w:szCs w:val="21"/>
          <w:lang w:val="en-US" w:eastAsia="zh-CN"/>
        </w:rPr>
      </w:pPr>
      <w:r>
        <w:rPr>
          <w:rFonts w:hint="eastAsia" w:ascii="楷体" w:hAnsi="楷体" w:eastAsia="楷体" w:cs="楷体"/>
          <w:b/>
          <w:bCs/>
          <w:sz w:val="21"/>
          <w:szCs w:val="21"/>
          <w:lang w:val="en-US" w:eastAsia="zh-CN"/>
        </w:rPr>
        <w:t>分析：</w:t>
      </w:r>
      <w:r>
        <w:rPr>
          <w:rFonts w:hint="eastAsia" w:ascii="楷体" w:hAnsi="楷体" w:eastAsia="楷体" w:cs="楷体"/>
          <w:sz w:val="21"/>
          <w:szCs w:val="21"/>
          <w:lang w:val="en-US" w:eastAsia="zh-CN"/>
        </w:rPr>
        <w:t>文件虽未明确支付给具体某个人，但已给出具体受益人范围，我司对该补贴款无自由支配权，属于代收付政府补贴。</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56" w:name="_Toc27721"/>
      <w:r>
        <w:rPr>
          <w:rFonts w:hint="eastAsia" w:asciiTheme="minorEastAsia" w:hAnsiTheme="minorEastAsia" w:cstheme="minorEastAsia"/>
          <w:b/>
          <w:bCs/>
          <w:color w:val="auto"/>
          <w:sz w:val="21"/>
          <w:szCs w:val="21"/>
          <w:lang w:val="en-US" w:eastAsia="zh-CN"/>
        </w:rPr>
        <w:t>5.18 关于建设单位收入确认单据的进一步规范</w:t>
      </w:r>
      <w:bookmarkEnd w:id="156"/>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sz w:val="21"/>
          <w:szCs w:val="21"/>
          <w:lang w:eastAsia="zh-CN"/>
        </w:rPr>
      </w:pPr>
      <w:r>
        <w:rPr>
          <w:rFonts w:hint="eastAsia" w:asciiTheme="minorEastAsia" w:hAnsiTheme="minorEastAsia" w:cstheme="minorEastAsia"/>
          <w:sz w:val="21"/>
          <w:szCs w:val="21"/>
          <w:lang w:val="en-US" w:eastAsia="zh-CN"/>
        </w:rPr>
        <w:t>对《关于规范建设单位收入确认的通知》关于非单一产权项目建设单位空置费、开办费、补贴款业务，</w:t>
      </w:r>
      <w:r>
        <w:rPr>
          <w:rFonts w:hint="eastAsia"/>
          <w:sz w:val="21"/>
          <w:szCs w:val="21"/>
          <w:lang w:eastAsia="zh-CN"/>
        </w:rPr>
        <w:t>区域事业部在</w:t>
      </w:r>
      <w:r>
        <w:rPr>
          <w:rFonts w:hint="eastAsia"/>
          <w:sz w:val="21"/>
          <w:szCs w:val="21"/>
        </w:rPr>
        <w:t>确认收入时需提供</w:t>
      </w:r>
      <w:r>
        <w:rPr>
          <w:rFonts w:hint="eastAsia"/>
          <w:sz w:val="21"/>
          <w:szCs w:val="21"/>
          <w:lang w:val="en-US" w:eastAsia="zh-CN"/>
        </w:rPr>
        <w:t>的</w:t>
      </w:r>
      <w:r>
        <w:rPr>
          <w:rFonts w:hint="eastAsia"/>
          <w:sz w:val="21"/>
          <w:szCs w:val="21"/>
        </w:rPr>
        <w:t>业务单据</w:t>
      </w:r>
      <w:r>
        <w:rPr>
          <w:rFonts w:hint="eastAsia"/>
          <w:sz w:val="21"/>
          <w:szCs w:val="21"/>
          <w:lang w:val="en-US" w:eastAsia="zh-CN"/>
        </w:rPr>
        <w:t>作进一步规范如下</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rPr>
      </w:pPr>
      <w:r>
        <w:rPr>
          <w:sz w:val="21"/>
          <w:szCs w:val="21"/>
        </w:rPr>
        <w:drawing>
          <wp:inline distT="0" distB="0" distL="114300" distR="114300">
            <wp:extent cx="5267325" cy="1161415"/>
            <wp:effectExtent l="0" t="0" r="952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4"/>
                    <a:stretch>
                      <a:fillRect/>
                    </a:stretch>
                  </pic:blipFill>
                  <pic:spPr>
                    <a:xfrm>
                      <a:off x="0" y="0"/>
                      <a:ext cx="5267325" cy="1161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1"/>
          <w:szCs w:val="21"/>
        </w:rPr>
      </w:pPr>
      <w:r>
        <w:rPr>
          <w:rFonts w:hint="eastAsia"/>
          <w:sz w:val="21"/>
          <w:szCs w:val="21"/>
        </w:rPr>
        <w:t>1</w:t>
      </w:r>
      <w:r>
        <w:rPr>
          <w:rFonts w:hint="eastAsia"/>
          <w:sz w:val="21"/>
          <w:szCs w:val="21"/>
          <w:lang w:eastAsia="zh-CN"/>
        </w:rPr>
        <w:t>）有</w:t>
      </w:r>
      <w:r>
        <w:rPr>
          <w:rFonts w:hint="eastAsia"/>
          <w:sz w:val="21"/>
          <w:szCs w:val="21"/>
          <w:lang w:val="en-US" w:eastAsia="zh-CN"/>
        </w:rPr>
        <w:t>确认函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根据</w:t>
      </w:r>
      <w:r>
        <w:rPr>
          <w:rFonts w:hint="eastAsia"/>
          <w:sz w:val="21"/>
          <w:szCs w:val="21"/>
        </w:rPr>
        <w:t>对方签字盖章（公章/财务专用章）确认函</w:t>
      </w:r>
      <w:r>
        <w:rPr>
          <w:rFonts w:hint="eastAsia"/>
          <w:sz w:val="21"/>
          <w:szCs w:val="21"/>
          <w:lang w:eastAsia="zh-CN"/>
        </w:rPr>
        <w:t>上的性质和金额确认收入，见下图。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eastAsia="zh-CN"/>
        </w:rPr>
      </w:pPr>
      <w:r>
        <w:rPr>
          <w:sz w:val="21"/>
          <w:szCs w:val="21"/>
        </w:rPr>
        <w:drawing>
          <wp:inline distT="0" distB="0" distL="114300" distR="114300">
            <wp:extent cx="4838700" cy="5267325"/>
            <wp:effectExtent l="0" t="0" r="0" b="952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5"/>
                    <a:stretch>
                      <a:fillRect/>
                    </a:stretch>
                  </pic:blipFill>
                  <pic:spPr>
                    <a:xfrm>
                      <a:off x="0" y="0"/>
                      <a:ext cx="4838700" cy="5267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sz w:val="21"/>
          <w:szCs w:val="21"/>
        </w:rPr>
      </w:pPr>
      <w:r>
        <w:rPr>
          <w:rFonts w:hint="eastAsia"/>
          <w:sz w:val="21"/>
          <w:szCs w:val="21"/>
          <w:lang w:val="en-US" w:eastAsia="zh-CN"/>
        </w:rPr>
        <w:t>2）</w:t>
      </w:r>
      <w:r>
        <w:rPr>
          <w:rFonts w:hint="eastAsia"/>
          <w:sz w:val="21"/>
          <w:szCs w:val="21"/>
          <w:lang w:eastAsia="zh-CN"/>
        </w:rPr>
        <w:t>无</w:t>
      </w:r>
      <w:r>
        <w:rPr>
          <w:rFonts w:hint="eastAsia"/>
          <w:sz w:val="21"/>
          <w:szCs w:val="21"/>
          <w:lang w:val="en-US" w:eastAsia="zh-CN"/>
        </w:rPr>
        <w:t>确认函，但有银行回单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rPr>
      </w:pPr>
      <w:r>
        <w:rPr>
          <w:rFonts w:hint="default" w:ascii="Calibri" w:hAnsi="Calibri" w:cs="Calibri"/>
          <w:sz w:val="21"/>
          <w:szCs w:val="21"/>
        </w:rPr>
        <w:t>①</w:t>
      </w:r>
      <w:r>
        <w:rPr>
          <w:rFonts w:hint="eastAsia"/>
          <w:sz w:val="21"/>
          <w:szCs w:val="21"/>
        </w:rPr>
        <w:t>如果银行回单已注明空置费、开办费、补贴款等款项性质的</w:t>
      </w:r>
      <w:r>
        <w:rPr>
          <w:rFonts w:hint="eastAsia"/>
          <w:sz w:val="21"/>
          <w:szCs w:val="21"/>
          <w:lang w:eastAsia="zh-CN"/>
        </w:rPr>
        <w:t>，根据</w:t>
      </w:r>
      <w:r>
        <w:rPr>
          <w:rFonts w:hint="eastAsia"/>
          <w:sz w:val="21"/>
          <w:szCs w:val="21"/>
        </w:rPr>
        <w:t>银行回单</w:t>
      </w:r>
      <w:r>
        <w:rPr>
          <w:rFonts w:hint="eastAsia"/>
          <w:sz w:val="21"/>
          <w:szCs w:val="21"/>
          <w:lang w:eastAsia="zh-CN"/>
        </w:rPr>
        <w:t>金额和回单上注明的款项性质确认</w:t>
      </w:r>
      <w:r>
        <w:rPr>
          <w:rFonts w:hint="eastAsia"/>
          <w:sz w:val="21"/>
          <w:szCs w:val="21"/>
        </w:rPr>
        <w:t>收入</w:t>
      </w:r>
      <w:r>
        <w:rPr>
          <w:rFonts w:hint="eastAsia"/>
          <w:sz w:val="21"/>
          <w:szCs w:val="21"/>
          <w:lang w:eastAsia="zh-CN"/>
        </w:rPr>
        <w:t>，见下图。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rPr>
      </w:pPr>
      <w:r>
        <w:rPr>
          <w:sz w:val="21"/>
          <w:szCs w:val="21"/>
        </w:rPr>
        <w:drawing>
          <wp:inline distT="0" distB="0" distL="114300" distR="114300">
            <wp:extent cx="5273040" cy="3750310"/>
            <wp:effectExtent l="0" t="0" r="3810" b="254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6"/>
                    <a:stretch>
                      <a:fillRect/>
                    </a:stretch>
                  </pic:blipFill>
                  <pic:spPr>
                    <a:xfrm>
                      <a:off x="0" y="0"/>
                      <a:ext cx="5273040" cy="37503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lang w:eastAsia="zh-CN"/>
        </w:rPr>
      </w:pPr>
      <w:r>
        <w:rPr>
          <w:rFonts w:hint="default" w:ascii="Calibri" w:hAnsi="Calibri" w:cs="Calibri"/>
          <w:sz w:val="21"/>
          <w:szCs w:val="21"/>
          <w:lang w:val="en-US" w:eastAsia="zh-CN"/>
        </w:rPr>
        <w:t>②</w:t>
      </w:r>
      <w:r>
        <w:rPr>
          <w:rFonts w:hint="eastAsia"/>
          <w:sz w:val="21"/>
          <w:szCs w:val="21"/>
        </w:rPr>
        <w:t>如果银行回单未注明款项性质</w:t>
      </w:r>
      <w:r>
        <w:rPr>
          <w:rFonts w:hint="eastAsia"/>
          <w:sz w:val="21"/>
          <w:szCs w:val="21"/>
          <w:lang w:eastAsia="zh-CN"/>
        </w:rPr>
        <w:t>或款项性质不明确的</w:t>
      </w:r>
      <w:r>
        <w:rPr>
          <w:rFonts w:hint="eastAsia"/>
          <w:sz w:val="21"/>
          <w:szCs w:val="21"/>
        </w:rPr>
        <w:t>，需另外</w:t>
      </w:r>
      <w:r>
        <w:rPr>
          <w:rFonts w:hint="eastAsia"/>
          <w:sz w:val="21"/>
          <w:szCs w:val="21"/>
          <w:lang w:eastAsia="zh-CN"/>
        </w:rPr>
        <w:t>再</w:t>
      </w:r>
      <w:r>
        <w:rPr>
          <w:rFonts w:hint="eastAsia"/>
          <w:sz w:val="21"/>
          <w:szCs w:val="21"/>
        </w:rPr>
        <w:t>提供</w:t>
      </w:r>
      <w:r>
        <w:rPr>
          <w:rFonts w:hint="eastAsia"/>
          <w:sz w:val="21"/>
          <w:szCs w:val="21"/>
          <w:lang w:eastAsia="zh-CN"/>
        </w:rPr>
        <w:t>相关合同条款页进一步证实回款性质（例如款项性质为空置费和补贴款，但回单内容为物业服务费），见下图。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Theme="minorEastAsia"/>
          <w:lang w:eastAsia="zh-CN"/>
        </w:rPr>
      </w:pPr>
      <w:r>
        <w:drawing>
          <wp:inline distT="0" distB="0" distL="114300" distR="114300">
            <wp:extent cx="5268595" cy="2912110"/>
            <wp:effectExtent l="0" t="0" r="8255" b="254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7"/>
                    <a:stretch>
                      <a:fillRect/>
                    </a:stretch>
                  </pic:blipFill>
                  <pic:spPr>
                    <a:xfrm>
                      <a:off x="0" y="0"/>
                      <a:ext cx="5268595" cy="29121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p>
    <w:p>
      <w:pPr>
        <w:pageBreakBefore w:val="0"/>
        <w:widowControl w:val="0"/>
        <w:kinsoku/>
        <w:wordWrap/>
        <w:overflowPunct/>
        <w:topLinePunct w:val="0"/>
        <w:autoSpaceDE/>
        <w:autoSpaceDN/>
        <w:bidi w:val="0"/>
        <w:spacing w:line="360" w:lineRule="auto"/>
        <w:textAlignment w:val="auto"/>
        <w:rPr>
          <w:rFonts w:hint="default" w:asciiTheme="minorEastAsia" w:hAnsiTheme="minorEastAsia" w:cstheme="minorEastAsia"/>
          <w:sz w:val="21"/>
          <w:szCs w:val="21"/>
          <w:lang w:val="en-US" w:eastAsia="zh-CN"/>
        </w:rPr>
      </w:pPr>
      <w:r>
        <w:drawing>
          <wp:inline distT="0" distB="0" distL="114300" distR="114300">
            <wp:extent cx="5273675" cy="4454525"/>
            <wp:effectExtent l="0" t="0" r="3175" b="317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8"/>
                    <a:stretch>
                      <a:fillRect/>
                    </a:stretch>
                  </pic:blipFill>
                  <pic:spPr>
                    <a:xfrm>
                      <a:off x="0" y="0"/>
                      <a:ext cx="5273675" cy="44545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57" w:name="_Toc9557"/>
      <w:r>
        <w:rPr>
          <w:rFonts w:hint="eastAsia" w:asciiTheme="minorEastAsia" w:hAnsiTheme="minorEastAsia" w:cstheme="minorEastAsia"/>
          <w:b/>
          <w:bCs/>
          <w:color w:val="auto"/>
          <w:sz w:val="21"/>
          <w:szCs w:val="21"/>
          <w:lang w:val="en-US" w:eastAsia="zh-CN"/>
        </w:rPr>
        <w:t>5.19 小业主电费先使用后付款如果电费有盈余，盈余的这部分电费收款，如果结转盈余，是否不用再缴纳销项税了？</w:t>
      </w:r>
      <w:bookmarkEnd w:id="15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当前的业务中，一般是聚焦于是否可以结转盈余。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应先核查根据协议是否能结转盈余。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根据协议条款的不同有两种做法：计入收入，冲减成本，具体判定见问题回答集第“5.12 物业合同条款中不同的能耗协议对账务处理的影响是什么？”。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如判定应计入收入，则表示之前部分金额计入代收付是错误的，则重新调整价税分离，做错账更正处理（即一般纳税人按6%税率入公共能耗收入）。</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58" w:name="_Toc8284"/>
      <w:r>
        <w:rPr>
          <w:rFonts w:hint="eastAsia" w:asciiTheme="minorEastAsia" w:hAnsiTheme="minorEastAsia" w:cstheme="minorEastAsia"/>
          <w:b/>
          <w:bCs/>
          <w:color w:val="auto"/>
          <w:sz w:val="21"/>
          <w:szCs w:val="21"/>
          <w:lang w:val="en-US" w:eastAsia="zh-CN"/>
        </w:rPr>
        <w:t>5.20 我司应收建设单位补贴款，建设单位代我司垫付电费，双方已签订债权债务对抵协议，现取得电费发票，请问电费报销的贷方应用那个科目核算？对抵债权债务如何操作？</w:t>
      </w:r>
      <w:bookmarkEnd w:id="158"/>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1）</w:t>
      </w:r>
      <w:r>
        <w:rPr>
          <w:rFonts w:hint="default"/>
          <w:lang w:val="en-US" w:eastAsia="zh-CN"/>
        </w:rPr>
        <w:t>应付账款的借方代表着付款，贷方代表着计提。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t>如果是因为能耗表未过户，开发商替我们支付，我们计提时：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t>借：能耗成本/其他应付款-能耗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t xml:space="preserve">    贷：应付账款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t>对外支付，冲销预付，或者对抵款，都视为支付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t>借：应付账款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default"/>
          <w:lang w:val="en-US" w:eastAsia="zh-CN"/>
        </w:rPr>
        <w:t xml:space="preserve">   贷：银行/预付/应收等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2）</w:t>
      </w:r>
      <w:r>
        <w:rPr>
          <w:rFonts w:hint="default"/>
          <w:lang w:val="en-US" w:eastAsia="zh-CN"/>
        </w:rPr>
        <w:t>对抵</w:t>
      </w:r>
      <w:r>
        <w:rPr>
          <w:rFonts w:hint="eastAsia"/>
          <w:lang w:val="en-US" w:eastAsia="zh-CN"/>
        </w:rPr>
        <w:t>通过</w:t>
      </w:r>
      <w:r>
        <w:rPr>
          <w:rFonts w:hint="default"/>
          <w:lang w:val="en-US" w:eastAsia="zh-CN"/>
        </w:rPr>
        <w:t>走总账核算单</w:t>
      </w:r>
      <w:r>
        <w:rPr>
          <w:rFonts w:hint="eastAsia"/>
          <w:lang w:val="en-US" w:eastAsia="zh-CN"/>
        </w:rPr>
        <w:t>操作，因为</w:t>
      </w:r>
      <w:r>
        <w:rPr>
          <w:rFonts w:hint="default"/>
          <w:lang w:val="en-US" w:eastAsia="zh-CN"/>
        </w:rPr>
        <w:t>费用报销单没有这么复杂功能，无法识别需要对抵哪些业务</w:t>
      </w:r>
      <w:r>
        <w:rPr>
          <w:rFonts w:hint="eastAsia"/>
          <w:lang w:val="en-US" w:eastAsia="zh-CN"/>
        </w:rPr>
        <w:t>。</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59" w:name="_Toc26485"/>
      <w:r>
        <w:rPr>
          <w:rFonts w:hint="eastAsia" w:asciiTheme="minorEastAsia" w:hAnsiTheme="minorEastAsia" w:cstheme="minorEastAsia"/>
          <w:b/>
          <w:bCs/>
          <w:color w:val="auto"/>
          <w:sz w:val="21"/>
          <w:szCs w:val="21"/>
          <w:lang w:val="en-US" w:eastAsia="zh-CN"/>
        </w:rPr>
        <w:t>5.21 如何对物业水、电费业务的往来科目进行检查？</w:t>
      </w:r>
      <w:bookmarkEnd w:id="159"/>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水电费业务是核算的难点，虽然业务场景复杂，但是相关科目之间与科目与业务之间存在内在逻辑勾稽关系，通过对相关往来科目进行检查，可以发核算中存在的问题，具体检查方法详见附件《资产负债表水电费科目的核对方法》。</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60" w:name="_Toc10636"/>
      <w:r>
        <w:rPr>
          <w:rFonts w:hint="eastAsia" w:asciiTheme="minorEastAsia" w:hAnsiTheme="minorEastAsia" w:cstheme="minorEastAsia"/>
          <w:b/>
          <w:bCs/>
          <w:color w:val="auto"/>
          <w:sz w:val="21"/>
          <w:szCs w:val="21"/>
          <w:lang w:val="en-US" w:eastAsia="zh-CN"/>
        </w:rPr>
        <w:t>5.22 借款单或报销单实际在当月付款，但生成的凭证日期在次月，如何操作？</w:t>
      </w:r>
      <w:bookmarkEnd w:id="160"/>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凭证付款后不在当月生成的原因：需要付款的报销单或借款单推凭证的记账日期按系统确认的付款日期生成，一些线下网银付款的报销单和借款单当月付款后，在下月的期初才在系统中确认付款，就会出现报销单或借款单生成付款凭证的记账日期与实际付款日期不一致的情况。</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处理方式：由费用组确认是否属于上述情况，如属实则由指定人员（费用组长）将凭证日期修改到付款当月。</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61" w:name="_Toc7503"/>
      <w:r>
        <w:rPr>
          <w:rFonts w:hint="eastAsia" w:asciiTheme="minorEastAsia" w:hAnsiTheme="minorEastAsia" w:cstheme="minorEastAsia"/>
          <w:b/>
          <w:bCs/>
          <w:color w:val="auto"/>
          <w:sz w:val="21"/>
          <w:szCs w:val="21"/>
          <w:lang w:val="en-US" w:eastAsia="zh-CN"/>
        </w:rPr>
        <w:t>5.23 关于OA付款业务的账务处理</w:t>
      </w:r>
      <w:bookmarkEnd w:id="161"/>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特殊事项通过OA审批付款后的账务处理如下：</w:t>
      </w:r>
    </w:p>
    <w:p>
      <w:pPr>
        <w:pageBreakBefore w:val="0"/>
        <w:widowControl w:val="0"/>
        <w:numPr>
          <w:ilvl w:val="0"/>
          <w:numId w:val="2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共享会计对付款单生成凭证时借方科目选择“2241.99.12.02其他应付款-未确认性质的付款”科目；</w:t>
      </w:r>
    </w:p>
    <w:p>
      <w:pPr>
        <w:pageBreakBefore w:val="0"/>
        <w:widowControl w:val="0"/>
        <w:numPr>
          <w:ilvl w:val="0"/>
          <w:numId w:val="2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业务完成后，区域事业部会计提交总账核算单对业务进行确认，并认领“2241.99.12.02其他应付款-未确认性质的付款”科目（如业务发生组织与付款组织不是同一账套的，通过2100.30科目认领）。</w:t>
      </w:r>
    </w:p>
    <w:p>
      <w:pPr>
        <w:pageBreakBefore w:val="0"/>
        <w:widowControl w:val="0"/>
        <w:numPr>
          <w:ilvl w:val="0"/>
          <w:numId w:val="0"/>
        </w:numPr>
        <w:kinsoku/>
        <w:wordWrap/>
        <w:overflowPunct/>
        <w:topLinePunct w:val="0"/>
        <w:autoSpaceDE/>
        <w:autoSpaceDN/>
        <w:bidi w:val="0"/>
        <w:spacing w:line="360" w:lineRule="auto"/>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总账核算单附件：</w:t>
      </w:r>
      <w:r>
        <w:rPr>
          <w:rFonts w:hint="default" w:ascii="Calibri" w:hAnsi="Calibri" w:eastAsia="宋体" w:cs="Calibri"/>
          <w:b w:val="0"/>
          <w:i w:val="0"/>
          <w:caps w:val="0"/>
          <w:color w:val="333333"/>
          <w:spacing w:val="0"/>
          <w:sz w:val="21"/>
          <w:szCs w:val="21"/>
          <w:highlight w:val="none"/>
          <w:u w:val="single"/>
          <w:shd w:val="clear" w:fill="FFFFFF"/>
          <w:lang w:val="en-US" w:eastAsia="zh-CN"/>
        </w:rPr>
        <w:t>①</w:t>
      </w:r>
      <w:r>
        <w:rPr>
          <w:rFonts w:hint="eastAsia" w:ascii="Arial" w:hAnsi="Arial" w:eastAsia="宋体" w:cs="Arial"/>
          <w:b w:val="0"/>
          <w:i w:val="0"/>
          <w:caps w:val="0"/>
          <w:color w:val="333333"/>
          <w:spacing w:val="0"/>
          <w:sz w:val="21"/>
          <w:szCs w:val="21"/>
          <w:highlight w:val="none"/>
          <w:shd w:val="clear" w:fill="FFFFFF"/>
          <w:lang w:val="en-US" w:eastAsia="zh-CN"/>
        </w:rPr>
        <w:t>OA审批单、</w:t>
      </w:r>
      <w:r>
        <w:rPr>
          <w:rFonts w:hint="default" w:ascii="Calibri" w:hAnsi="Calibri" w:eastAsia="宋体" w:cs="Calibri"/>
          <w:b w:val="0"/>
          <w:i w:val="0"/>
          <w:caps w:val="0"/>
          <w:color w:val="333333"/>
          <w:spacing w:val="0"/>
          <w:sz w:val="21"/>
          <w:szCs w:val="21"/>
          <w:highlight w:val="none"/>
          <w:u w:val="single"/>
          <w:shd w:val="clear" w:fill="FFFFFF"/>
          <w:lang w:val="en-US" w:eastAsia="zh-CN"/>
        </w:rPr>
        <w:t>②</w:t>
      </w:r>
      <w:r>
        <w:rPr>
          <w:rFonts w:hint="eastAsia" w:ascii="Arial" w:hAnsi="Arial" w:eastAsia="宋体" w:cs="Arial"/>
          <w:b w:val="0"/>
          <w:i w:val="0"/>
          <w:caps w:val="0"/>
          <w:color w:val="333333"/>
          <w:spacing w:val="0"/>
          <w:sz w:val="21"/>
          <w:szCs w:val="21"/>
          <w:highlight w:val="none"/>
          <w:shd w:val="clear" w:fill="FFFFFF"/>
          <w:lang w:val="en-US" w:eastAsia="zh-CN"/>
        </w:rPr>
        <w:t>发票及其他业务证明资料（如送货单、确认单、合同等）、</w:t>
      </w:r>
      <w:r>
        <w:rPr>
          <w:rFonts w:hint="default" w:ascii="Calibri" w:hAnsi="Calibri" w:eastAsia="宋体" w:cs="Calibri"/>
          <w:b w:val="0"/>
          <w:i w:val="0"/>
          <w:caps w:val="0"/>
          <w:color w:val="333333"/>
          <w:spacing w:val="0"/>
          <w:sz w:val="21"/>
          <w:szCs w:val="21"/>
          <w:highlight w:val="none"/>
          <w:u w:val="single"/>
          <w:shd w:val="clear" w:fill="FFFFFF"/>
          <w:lang w:val="en-US" w:eastAsia="zh-CN"/>
        </w:rPr>
        <w:t>③</w:t>
      </w:r>
      <w:r>
        <w:rPr>
          <w:rFonts w:hint="eastAsia" w:ascii="Arial" w:hAnsi="Arial" w:eastAsia="宋体" w:cs="Arial"/>
          <w:b w:val="0"/>
          <w:i w:val="0"/>
          <w:caps w:val="0"/>
          <w:color w:val="333333"/>
          <w:spacing w:val="0"/>
          <w:sz w:val="21"/>
          <w:szCs w:val="21"/>
          <w:highlight w:val="none"/>
          <w:shd w:val="clear" w:fill="FFFFFF"/>
          <w:lang w:val="en-US" w:eastAsia="zh-CN"/>
        </w:rPr>
        <w:t>“2241.99.12.02其他应付款-未确认性质的付款”科目入账凭证截图</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62" w:name="_Toc21339"/>
      <w:r>
        <w:rPr>
          <w:rFonts w:hint="eastAsia" w:asciiTheme="minorEastAsia" w:hAnsiTheme="minorEastAsia" w:cstheme="minorEastAsia"/>
          <w:b/>
          <w:bCs/>
          <w:color w:val="auto"/>
          <w:sz w:val="21"/>
          <w:szCs w:val="21"/>
          <w:lang w:val="en-US" w:eastAsia="zh-CN"/>
        </w:rPr>
        <w:t>5.23 撤场项目未收回的履约保证金是否可以结转到机关账套？</w:t>
      </w:r>
      <w:bookmarkEnd w:id="162"/>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结转到机关不便于督促项目责任人催回保证金，因此暂不结转到机关账套。</w:t>
      </w:r>
    </w:p>
    <w:p>
      <w:pPr>
        <w:pageBreakBefore w:val="0"/>
        <w:widowControl w:val="0"/>
        <w:kinsoku/>
        <w:wordWrap/>
        <w:overflowPunct/>
        <w:topLinePunct w:val="0"/>
        <w:autoSpaceDE/>
        <w:autoSpaceDN/>
        <w:bidi w:val="0"/>
        <w:adjustRightInd w:val="0"/>
        <w:snapToGrid w:val="0"/>
        <w:spacing w:before="0" w:after="0" w:line="360" w:lineRule="auto"/>
        <w:textAlignment w:val="auto"/>
        <w:outlineLvl w:val="0"/>
        <w:rPr>
          <w:rFonts w:hint="default" w:asciiTheme="minorEastAsia" w:hAnsiTheme="minorEastAsia" w:cstheme="minorEastAsia"/>
          <w:sz w:val="21"/>
          <w:szCs w:val="21"/>
          <w:lang w:val="en-US" w:eastAsia="zh-CN"/>
        </w:rPr>
      </w:pPr>
      <w:bookmarkStart w:id="163" w:name="_Toc32491"/>
      <w:r>
        <w:rPr>
          <w:rFonts w:hint="eastAsia" w:asciiTheme="minorEastAsia" w:hAnsiTheme="minorEastAsia" w:cstheme="minorEastAsia"/>
          <w:b/>
          <w:bCs/>
          <w:color w:val="auto"/>
          <w:sz w:val="21"/>
          <w:szCs w:val="21"/>
          <w:lang w:val="en-US" w:eastAsia="zh-CN"/>
        </w:rPr>
        <w:t>5.24 变更分公司机关账套的注意事项</w:t>
      </w:r>
      <w:bookmarkEnd w:id="163"/>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Arial" w:hAnsi="Arial" w:eastAsia="宋体" w:cs="Arial"/>
          <w:b/>
          <w:bCs/>
          <w:i w:val="0"/>
          <w:caps w:val="0"/>
          <w:color w:val="333333"/>
          <w:spacing w:val="0"/>
          <w:sz w:val="21"/>
          <w:szCs w:val="21"/>
          <w:highlight w:val="none"/>
          <w:shd w:val="clear" w:fill="FFFFFF"/>
          <w:lang w:val="en-US" w:eastAsia="zh-CN"/>
        </w:rPr>
      </w:pPr>
      <w:r>
        <w:rPr>
          <w:rFonts w:hint="eastAsia" w:ascii="Arial" w:hAnsi="Arial" w:eastAsia="宋体" w:cs="Arial"/>
          <w:b/>
          <w:bCs/>
          <w:i w:val="0"/>
          <w:caps w:val="0"/>
          <w:color w:val="333333"/>
          <w:spacing w:val="0"/>
          <w:sz w:val="21"/>
          <w:szCs w:val="21"/>
          <w:highlight w:val="none"/>
          <w:shd w:val="clear" w:fill="FFFFFF"/>
          <w:lang w:val="en-US" w:eastAsia="zh-CN"/>
        </w:rPr>
        <w:t>答：</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因实际业务需要对分公司机关账套进行变更的，具体通知方式及账务调整事项如下：</w:t>
      </w:r>
    </w:p>
    <w:p>
      <w:pPr>
        <w:pageBreakBefore w:val="0"/>
        <w:widowControl w:val="0"/>
        <w:numPr>
          <w:ilvl w:val="0"/>
          <w:numId w:val="21"/>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区域事业部财务部长发企业邮件通知共享中心马纯谊、共享总账组，抄送事业部财总、共享姜总，邮件说明变更机关账套的事由，新、旧机关账套信息，新机关账套开始使用日期等信息；</w:t>
      </w:r>
    </w:p>
    <w:p>
      <w:pPr>
        <w:pageBreakBefore w:val="0"/>
        <w:widowControl w:val="0"/>
        <w:numPr>
          <w:ilvl w:val="0"/>
          <w:numId w:val="21"/>
        </w:numPr>
        <w:kinsoku/>
        <w:wordWrap/>
        <w:overflowPunct/>
        <w:topLinePunct w:val="0"/>
        <w:autoSpaceDE/>
        <w:autoSpaceDN/>
        <w:bidi w:val="0"/>
        <w:spacing w:line="360" w:lineRule="auto"/>
        <w:ind w:leftChars="0"/>
        <w:textAlignment w:val="auto"/>
        <w:outlineLvl w:val="9"/>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总账组发邮件通知共享业务组和区域事业部财务部长，告之以下账务操作：</w:t>
      </w:r>
    </w:p>
    <w:p>
      <w:pPr>
        <w:pageBreakBefore w:val="0"/>
        <w:widowControl w:val="0"/>
        <w:numPr>
          <w:ilvl w:val="0"/>
          <w:numId w:val="0"/>
        </w:numPr>
        <w:kinsoku/>
        <w:wordWrap/>
        <w:overflowPunct/>
        <w:topLinePunct w:val="0"/>
        <w:autoSpaceDE/>
        <w:autoSpaceDN/>
        <w:bidi w:val="0"/>
        <w:spacing w:line="360" w:lineRule="auto"/>
        <w:textAlignment w:val="auto"/>
        <w:outlineLvl w:val="9"/>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（1）业务会计调整2100应付内部往来明细科目余额，具体调整内容如下</w:t>
      </w:r>
    </w:p>
    <w:p>
      <w:pPr>
        <w:pageBreakBefore w:val="0"/>
        <w:widowControl w:val="0"/>
        <w:numPr>
          <w:ilvl w:val="0"/>
          <w:numId w:val="0"/>
        </w:numPr>
        <w:kinsoku/>
        <w:wordWrap/>
        <w:overflowPunct/>
        <w:topLinePunct w:val="0"/>
        <w:autoSpaceDE/>
        <w:autoSpaceDN/>
        <w:bidi w:val="0"/>
        <w:spacing w:line="360" w:lineRule="auto"/>
        <w:textAlignment w:val="auto"/>
        <w:outlineLvl w:val="9"/>
        <w:rPr>
          <w:rFonts w:ascii="Verdana" w:hAnsi="Verdana" w:eastAsia="Verdana" w:cs="Verdana"/>
          <w:i w:val="0"/>
          <w:iCs w:val="0"/>
          <w:caps w:val="0"/>
          <w:color w:val="000000"/>
          <w:spacing w:val="0"/>
          <w:sz w:val="21"/>
          <w:szCs w:val="21"/>
          <w:shd w:val="clear" w:fill="FFFFFF"/>
        </w:rPr>
      </w:pPr>
      <w:r>
        <w:rPr>
          <w:rFonts w:hint="default" w:ascii="Calibri" w:hAnsi="Calibri" w:eastAsia="宋体" w:cs="Calibri"/>
          <w:b w:val="0"/>
          <w:i w:val="0"/>
          <w:caps w:val="0"/>
          <w:color w:val="333333"/>
          <w:spacing w:val="0"/>
          <w:sz w:val="21"/>
          <w:szCs w:val="21"/>
          <w:highlight w:val="none"/>
          <w:shd w:val="clear" w:fill="FFFFFF"/>
          <w:lang w:val="en-US" w:eastAsia="zh-CN"/>
        </w:rPr>
        <w:t>①</w:t>
      </w:r>
      <w:r>
        <w:rPr>
          <w:rFonts w:hint="eastAsia" w:ascii="Calibri" w:hAnsi="Calibri" w:eastAsia="宋体" w:cs="Calibri"/>
          <w:b w:val="0"/>
          <w:i w:val="0"/>
          <w:caps w:val="0"/>
          <w:color w:val="333333"/>
          <w:spacing w:val="0"/>
          <w:sz w:val="21"/>
          <w:szCs w:val="21"/>
          <w:highlight w:val="none"/>
          <w:shd w:val="clear" w:fill="FFFFFF"/>
          <w:lang w:val="en-US" w:eastAsia="zh-CN"/>
        </w:rPr>
        <w:t>将</w:t>
      </w:r>
      <w:r>
        <w:rPr>
          <w:rFonts w:ascii="Verdana" w:hAnsi="Verdana" w:eastAsia="Verdana" w:cs="Verdana"/>
          <w:i w:val="0"/>
          <w:iCs w:val="0"/>
          <w:caps w:val="0"/>
          <w:color w:val="000000"/>
          <w:spacing w:val="0"/>
          <w:sz w:val="21"/>
          <w:szCs w:val="21"/>
          <w:shd w:val="clear" w:fill="FFFFFF"/>
        </w:rPr>
        <w:t>原机关账套2100</w:t>
      </w:r>
      <w:r>
        <w:rPr>
          <w:rFonts w:hint="eastAsia" w:ascii="Verdana" w:hAnsi="Verdana" w:eastAsia="宋体" w:cs="Verdana"/>
          <w:i w:val="0"/>
          <w:iCs w:val="0"/>
          <w:caps w:val="0"/>
          <w:color w:val="000000"/>
          <w:spacing w:val="0"/>
          <w:sz w:val="21"/>
          <w:szCs w:val="21"/>
          <w:shd w:val="clear" w:fill="FFFFFF"/>
          <w:lang w:val="en-US" w:eastAsia="zh-CN"/>
        </w:rPr>
        <w:t>应付内部往来</w:t>
      </w:r>
      <w:r>
        <w:rPr>
          <w:rFonts w:ascii="Verdana" w:hAnsi="Verdana" w:eastAsia="Verdana" w:cs="Verdana"/>
          <w:i w:val="0"/>
          <w:iCs w:val="0"/>
          <w:caps w:val="0"/>
          <w:color w:val="000000"/>
          <w:spacing w:val="0"/>
          <w:sz w:val="21"/>
          <w:szCs w:val="21"/>
          <w:shd w:val="clear" w:fill="FFFFFF"/>
        </w:rPr>
        <w:t>明细科目辅助核算</w:t>
      </w:r>
      <w:r>
        <w:rPr>
          <w:rFonts w:hint="eastAsia" w:ascii="Verdana" w:hAnsi="Verdana" w:eastAsia="宋体" w:cs="Verdana"/>
          <w:i w:val="0"/>
          <w:iCs w:val="0"/>
          <w:caps w:val="0"/>
          <w:color w:val="000000"/>
          <w:spacing w:val="0"/>
          <w:sz w:val="21"/>
          <w:szCs w:val="21"/>
          <w:shd w:val="clear" w:fill="FFFFFF"/>
          <w:lang w:eastAsia="zh-CN"/>
        </w:rPr>
        <w:t>，</w:t>
      </w:r>
      <w:r>
        <w:rPr>
          <w:rFonts w:hint="eastAsia" w:ascii="Verdana" w:hAnsi="Verdana" w:eastAsia="宋体" w:cs="Verdana"/>
          <w:i w:val="0"/>
          <w:iCs w:val="0"/>
          <w:caps w:val="0"/>
          <w:color w:val="000000"/>
          <w:spacing w:val="0"/>
          <w:sz w:val="21"/>
          <w:szCs w:val="21"/>
          <w:shd w:val="clear" w:fill="FFFFFF"/>
          <w:lang w:val="en-US" w:eastAsia="zh-CN"/>
        </w:rPr>
        <w:t>将辅助核算</w:t>
      </w:r>
      <w:r>
        <w:rPr>
          <w:rFonts w:ascii="Verdana" w:hAnsi="Verdana" w:eastAsia="Verdana" w:cs="Verdana"/>
          <w:i w:val="0"/>
          <w:iCs w:val="0"/>
          <w:caps w:val="0"/>
          <w:color w:val="000000"/>
          <w:spacing w:val="0"/>
          <w:sz w:val="21"/>
          <w:szCs w:val="21"/>
          <w:shd w:val="clear" w:fill="FFFFFF"/>
        </w:rPr>
        <w:t>调整至新机关账套；</w:t>
      </w:r>
    </w:p>
    <w:p>
      <w:pPr>
        <w:pageBreakBefore w:val="0"/>
        <w:widowControl w:val="0"/>
        <w:numPr>
          <w:ilvl w:val="0"/>
          <w:numId w:val="0"/>
        </w:numPr>
        <w:kinsoku/>
        <w:wordWrap/>
        <w:overflowPunct/>
        <w:topLinePunct w:val="0"/>
        <w:autoSpaceDE/>
        <w:autoSpaceDN/>
        <w:bidi w:val="0"/>
        <w:spacing w:line="360" w:lineRule="auto"/>
        <w:textAlignment w:val="auto"/>
        <w:outlineLvl w:val="9"/>
        <w:rPr>
          <w:rFonts w:ascii="Verdana" w:hAnsi="Verdana" w:eastAsia="Verdana" w:cs="Verdana"/>
          <w:i w:val="0"/>
          <w:iCs w:val="0"/>
          <w:caps w:val="0"/>
          <w:color w:val="000000"/>
          <w:spacing w:val="0"/>
          <w:sz w:val="21"/>
          <w:szCs w:val="21"/>
          <w:shd w:val="clear" w:fill="FFFFFF"/>
        </w:rPr>
      </w:pPr>
      <w:r>
        <w:rPr>
          <w:rFonts w:hint="default" w:ascii="Calibri" w:hAnsi="Calibri" w:eastAsia="Verdana" w:cs="Calibri"/>
          <w:i w:val="0"/>
          <w:iCs w:val="0"/>
          <w:caps w:val="0"/>
          <w:color w:val="000000"/>
          <w:spacing w:val="0"/>
          <w:sz w:val="21"/>
          <w:szCs w:val="21"/>
          <w:shd w:val="clear" w:fill="FFFFFF"/>
        </w:rPr>
        <w:t>②</w:t>
      </w:r>
      <w:r>
        <w:rPr>
          <w:rFonts w:hint="eastAsia" w:ascii="Calibri" w:hAnsi="Calibri" w:eastAsia="宋体" w:cs="Calibri"/>
          <w:i w:val="0"/>
          <w:iCs w:val="0"/>
          <w:caps w:val="0"/>
          <w:color w:val="000000"/>
          <w:spacing w:val="0"/>
          <w:sz w:val="21"/>
          <w:szCs w:val="21"/>
          <w:shd w:val="clear" w:fill="FFFFFF"/>
          <w:lang w:val="en-US" w:eastAsia="zh-CN"/>
        </w:rPr>
        <w:t>调整分公司下属</w:t>
      </w:r>
      <w:r>
        <w:rPr>
          <w:rFonts w:ascii="Verdana" w:hAnsi="Verdana" w:eastAsia="Verdana" w:cs="Verdana"/>
          <w:i w:val="0"/>
          <w:iCs w:val="0"/>
          <w:caps w:val="0"/>
          <w:color w:val="000000"/>
          <w:spacing w:val="0"/>
          <w:sz w:val="21"/>
          <w:szCs w:val="21"/>
          <w:shd w:val="clear" w:fill="FFFFFF"/>
        </w:rPr>
        <w:t>项目账套2100应付内部往来明细科目</w:t>
      </w:r>
      <w:r>
        <w:rPr>
          <w:rFonts w:hint="eastAsia" w:ascii="Verdana" w:hAnsi="Verdana" w:eastAsia="宋体" w:cs="Verdana"/>
          <w:i w:val="0"/>
          <w:iCs w:val="0"/>
          <w:caps w:val="0"/>
          <w:color w:val="000000"/>
          <w:spacing w:val="0"/>
          <w:sz w:val="21"/>
          <w:szCs w:val="21"/>
          <w:shd w:val="clear" w:fill="FFFFFF"/>
          <w:lang w:val="en-US" w:eastAsia="zh-CN"/>
        </w:rPr>
        <w:t>辅助核算</w:t>
      </w:r>
      <w:r>
        <w:rPr>
          <w:rFonts w:hint="eastAsia" w:ascii="Verdana" w:hAnsi="Verdana" w:eastAsia="宋体" w:cs="Verdana"/>
          <w:i w:val="0"/>
          <w:iCs w:val="0"/>
          <w:caps w:val="0"/>
          <w:color w:val="000000"/>
          <w:spacing w:val="0"/>
          <w:sz w:val="21"/>
          <w:szCs w:val="21"/>
          <w:shd w:val="clear" w:fill="FFFFFF"/>
          <w:lang w:eastAsia="zh-CN"/>
        </w:rPr>
        <w:t>，</w:t>
      </w:r>
      <w:r>
        <w:rPr>
          <w:rFonts w:hint="eastAsia" w:ascii="Verdana" w:hAnsi="Verdana" w:eastAsia="宋体" w:cs="Verdana"/>
          <w:i w:val="0"/>
          <w:iCs w:val="0"/>
          <w:caps w:val="0"/>
          <w:color w:val="000000"/>
          <w:spacing w:val="0"/>
          <w:sz w:val="21"/>
          <w:szCs w:val="21"/>
          <w:shd w:val="clear" w:fill="FFFFFF"/>
          <w:lang w:val="en-US" w:eastAsia="zh-CN"/>
        </w:rPr>
        <w:t>将辅助核算旧机关调整至</w:t>
      </w:r>
      <w:r>
        <w:rPr>
          <w:rFonts w:ascii="Verdana" w:hAnsi="Verdana" w:eastAsia="Verdana" w:cs="Verdana"/>
          <w:i w:val="0"/>
          <w:iCs w:val="0"/>
          <w:caps w:val="0"/>
          <w:color w:val="000000"/>
          <w:spacing w:val="0"/>
          <w:sz w:val="21"/>
          <w:szCs w:val="21"/>
          <w:shd w:val="clear" w:fill="FFFFFF"/>
        </w:rPr>
        <w:t>新机关；</w:t>
      </w:r>
    </w:p>
    <w:p>
      <w:pPr>
        <w:pageBreakBefore w:val="0"/>
        <w:widowControl w:val="0"/>
        <w:numPr>
          <w:ilvl w:val="0"/>
          <w:numId w:val="0"/>
        </w:numPr>
        <w:kinsoku/>
        <w:wordWrap/>
        <w:overflowPunct/>
        <w:topLinePunct w:val="0"/>
        <w:autoSpaceDE/>
        <w:autoSpaceDN/>
        <w:bidi w:val="0"/>
        <w:spacing w:line="360" w:lineRule="auto"/>
        <w:textAlignment w:val="auto"/>
        <w:outlineLvl w:val="9"/>
        <w:rPr>
          <w:rFonts w:hint="eastAsia" w:ascii="Verdana" w:hAnsi="Verdana" w:eastAsia="宋体" w:cs="Verdana"/>
          <w:i w:val="0"/>
          <w:iCs w:val="0"/>
          <w:caps w:val="0"/>
          <w:color w:val="000000"/>
          <w:spacing w:val="0"/>
          <w:sz w:val="21"/>
          <w:szCs w:val="21"/>
          <w:shd w:val="clear" w:fill="FFFFFF"/>
          <w:lang w:val="en-US" w:eastAsia="zh-CN"/>
        </w:rPr>
      </w:pPr>
      <w:r>
        <w:rPr>
          <w:rFonts w:hint="default" w:ascii="Calibri" w:hAnsi="Calibri" w:eastAsia="Verdana" w:cs="Calibri"/>
          <w:i w:val="0"/>
          <w:iCs w:val="0"/>
          <w:caps w:val="0"/>
          <w:color w:val="000000"/>
          <w:spacing w:val="0"/>
          <w:sz w:val="21"/>
          <w:szCs w:val="21"/>
          <w:shd w:val="clear" w:fill="FFFFFF"/>
          <w:lang w:val="en-US" w:eastAsia="zh-CN"/>
        </w:rPr>
        <w:t>③</w:t>
      </w:r>
      <w:r>
        <w:rPr>
          <w:rFonts w:hint="eastAsia" w:ascii="Calibri" w:hAnsi="Calibri" w:eastAsia="Verdana" w:cs="Calibri"/>
          <w:i w:val="0"/>
          <w:iCs w:val="0"/>
          <w:caps w:val="0"/>
          <w:color w:val="000000"/>
          <w:spacing w:val="0"/>
          <w:sz w:val="21"/>
          <w:szCs w:val="21"/>
          <w:shd w:val="clear" w:fill="FFFFFF"/>
          <w:lang w:val="en-US" w:eastAsia="zh-CN"/>
        </w:rPr>
        <w:t>调整</w:t>
      </w:r>
      <w:r>
        <w:rPr>
          <w:rFonts w:ascii="Verdana" w:hAnsi="Verdana" w:eastAsia="Verdana" w:cs="Verdana"/>
          <w:i w:val="0"/>
          <w:iCs w:val="0"/>
          <w:caps w:val="0"/>
          <w:color w:val="000000"/>
          <w:spacing w:val="0"/>
          <w:sz w:val="21"/>
          <w:szCs w:val="21"/>
          <w:shd w:val="clear" w:fill="FFFFFF"/>
        </w:rPr>
        <w:t>其他机关账套2100应付内部往来明细科目辅助核算</w:t>
      </w:r>
      <w:r>
        <w:rPr>
          <w:rFonts w:hint="eastAsia" w:ascii="Verdana" w:hAnsi="Verdana" w:eastAsia="宋体" w:cs="Verdana"/>
          <w:i w:val="0"/>
          <w:iCs w:val="0"/>
          <w:caps w:val="0"/>
          <w:color w:val="000000"/>
          <w:spacing w:val="0"/>
          <w:sz w:val="21"/>
          <w:szCs w:val="21"/>
          <w:shd w:val="clear" w:fill="FFFFFF"/>
          <w:lang w:eastAsia="zh-CN"/>
        </w:rPr>
        <w:t>，</w:t>
      </w:r>
      <w:r>
        <w:rPr>
          <w:rFonts w:hint="eastAsia" w:ascii="Verdana" w:hAnsi="Verdana" w:eastAsia="宋体" w:cs="Verdana"/>
          <w:i w:val="0"/>
          <w:iCs w:val="0"/>
          <w:caps w:val="0"/>
          <w:color w:val="000000"/>
          <w:spacing w:val="0"/>
          <w:sz w:val="21"/>
          <w:szCs w:val="21"/>
          <w:shd w:val="clear" w:fill="FFFFFF"/>
          <w:lang w:val="en-US" w:eastAsia="zh-CN"/>
        </w:rPr>
        <w:t>将辅助核算旧机关调整至</w:t>
      </w:r>
      <w:r>
        <w:rPr>
          <w:rFonts w:ascii="Verdana" w:hAnsi="Verdana" w:eastAsia="Verdana" w:cs="Verdana"/>
          <w:i w:val="0"/>
          <w:iCs w:val="0"/>
          <w:caps w:val="0"/>
          <w:color w:val="000000"/>
          <w:spacing w:val="0"/>
          <w:sz w:val="21"/>
          <w:szCs w:val="21"/>
          <w:shd w:val="clear" w:fill="FFFFFF"/>
        </w:rPr>
        <w:t>新机关</w:t>
      </w:r>
      <w:r>
        <w:rPr>
          <w:rFonts w:hint="eastAsia" w:ascii="Verdana" w:hAnsi="Verdana" w:eastAsia="宋体" w:cs="Verdana"/>
          <w:i w:val="0"/>
          <w:iCs w:val="0"/>
          <w:caps w:val="0"/>
          <w:color w:val="000000"/>
          <w:spacing w:val="0"/>
          <w:sz w:val="21"/>
          <w:szCs w:val="21"/>
          <w:shd w:val="clear" w:fill="FFFFFF"/>
          <w:lang w:eastAsia="zh-CN"/>
        </w:rPr>
        <w:t>。</w:t>
      </w:r>
    </w:p>
    <w:p>
      <w:pPr>
        <w:pageBreakBefore w:val="0"/>
        <w:widowControl w:val="0"/>
        <w:numPr>
          <w:ilvl w:val="0"/>
          <w:numId w:val="22"/>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除“应交税费”、“应付职工薪酬-工会经费”、“应付职工薪酬-职工教育经费”科目外，业务会计将机关账套核算的科目余额从旧机关账套调整至新机关账套；</w:t>
      </w:r>
    </w:p>
    <w:p>
      <w:pPr>
        <w:pageBreakBefore w:val="0"/>
        <w:widowControl w:val="0"/>
        <w:numPr>
          <w:ilvl w:val="0"/>
          <w:numId w:val="22"/>
        </w:numPr>
        <w:kinsoku/>
        <w:wordWrap/>
        <w:overflowPunct/>
        <w:topLinePunct w:val="0"/>
        <w:autoSpaceDE/>
        <w:autoSpaceDN/>
        <w:bidi w:val="0"/>
        <w:spacing w:line="360" w:lineRule="auto"/>
        <w:ind w:leftChars="0"/>
        <w:textAlignment w:val="auto"/>
        <w:outlineLvl w:val="9"/>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共享中心各组别调整EAS自动结转凭证公式设置，如将应付职工薪酬-工会经费、应付职工薪酬-职工教育经费、应交税费、管理费用分摊等凭证公式更为新机关账套；</w:t>
      </w:r>
    </w:p>
    <w:p>
      <w:pPr>
        <w:pageBreakBefore w:val="0"/>
        <w:widowControl w:val="0"/>
        <w:numPr>
          <w:ilvl w:val="0"/>
          <w:numId w:val="22"/>
        </w:numPr>
        <w:kinsoku/>
        <w:wordWrap/>
        <w:overflowPunct/>
        <w:topLinePunct w:val="0"/>
        <w:autoSpaceDE/>
        <w:autoSpaceDN/>
        <w:bidi w:val="0"/>
        <w:spacing w:line="360" w:lineRule="auto"/>
        <w:ind w:leftChars="0"/>
        <w:textAlignment w:val="auto"/>
        <w:outlineLvl w:val="9"/>
        <w:rPr>
          <w:rFonts w:hint="default"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t>共享中心各组别将“应交税费”、“应付职工薪酬-工会经费”、“应付职工薪酬-职工教育经费”科目余额从旧机关账套调整至新机关账套。</w:t>
      </w: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9"/>
        <w:rPr>
          <w:rFonts w:hint="eastAsia" w:ascii="Arial" w:hAnsi="Arial" w:eastAsia="宋体" w:cs="Arial"/>
          <w:b w:val="0"/>
          <w:i w:val="0"/>
          <w:caps w:val="0"/>
          <w:color w:val="333333"/>
          <w:spacing w:val="0"/>
          <w:sz w:val="21"/>
          <w:szCs w:val="21"/>
          <w:highlight w:val="none"/>
          <w:shd w:val="clear" w:fill="FFFFFF"/>
          <w:lang w:val="en-US" w:eastAsia="zh-CN"/>
        </w:rPr>
      </w:pP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default" w:ascii="Arial" w:hAnsi="Arial" w:eastAsia="宋体" w:cs="Arial"/>
          <w:b/>
          <w:bCs/>
          <w:i w:val="0"/>
          <w:caps w:val="0"/>
          <w:color w:val="333333"/>
          <w:spacing w:val="0"/>
          <w:sz w:val="28"/>
          <w:szCs w:val="28"/>
          <w:highlight w:val="none"/>
          <w:shd w:val="clear" w:fill="FFFFFF"/>
          <w:lang w:val="en-US" w:eastAsia="zh-CN"/>
        </w:rPr>
      </w:pPr>
      <w:bookmarkStart w:id="164" w:name="_Toc19990"/>
      <w:r>
        <w:rPr>
          <w:rFonts w:hint="eastAsia" w:ascii="Arial" w:hAnsi="Arial" w:eastAsia="宋体" w:cs="Arial"/>
          <w:b/>
          <w:bCs/>
          <w:i w:val="0"/>
          <w:caps w:val="0"/>
          <w:color w:val="333333"/>
          <w:spacing w:val="0"/>
          <w:sz w:val="28"/>
          <w:szCs w:val="28"/>
          <w:highlight w:val="none"/>
          <w:shd w:val="clear" w:fill="FFFFFF"/>
          <w:lang w:val="en-US" w:eastAsia="zh-CN"/>
        </w:rPr>
        <w:t>附件：</w:t>
      </w:r>
      <w:bookmarkEnd w:id="164"/>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Arial" w:hAnsi="Arial" w:eastAsia="宋体" w:cs="Arial"/>
          <w:b w:val="0"/>
          <w:i w:val="0"/>
          <w:caps w:val="0"/>
          <w:color w:val="333333"/>
          <w:spacing w:val="0"/>
          <w:sz w:val="21"/>
          <w:szCs w:val="21"/>
          <w:highlight w:val="none"/>
          <w:shd w:val="clear" w:fill="FFFFFF"/>
          <w:lang w:val="en-US" w:eastAsia="zh-CN"/>
        </w:rPr>
      </w:pPr>
      <w:r>
        <w:rPr>
          <w:rFonts w:hint="eastAsia" w:ascii="Arial" w:hAnsi="Arial" w:eastAsia="宋体" w:cs="Arial"/>
          <w:b w:val="0"/>
          <w:i w:val="0"/>
          <w:caps w:val="0"/>
          <w:color w:val="333333"/>
          <w:spacing w:val="0"/>
          <w:sz w:val="21"/>
          <w:szCs w:val="21"/>
          <w:highlight w:val="none"/>
          <w:shd w:val="clear" w:fill="FFFFFF"/>
          <w:lang w:val="en-US" w:eastAsia="zh-CN"/>
        </w:rPr>
        <w:object>
          <v:shape id="_x0000_i1025" o:spt="75" type="#_x0000_t75" style="height:66pt;width:72.75pt;" o:ole="t" filled="f" o:preferrelative="t" stroked="f" coordsize="21600,21600">
            <v:path/>
            <v:fill on="f" focussize="0,0"/>
            <v:stroke on="f"/>
            <v:imagedata r:id="rId40" o:title=""/>
            <o:lock v:ext="edit" aspectratio="t"/>
            <w10:wrap type="none"/>
            <w10:anchorlock/>
          </v:shape>
          <o:OLEObject Type="Embed" ProgID="Excel.Sheet.12" ShapeID="_x0000_i1025" DrawAspect="Icon" ObjectID="_1468075725" r:id="rId39">
            <o:LockedField>false</o:LockedField>
          </o:OLEObject>
        </w:object>
      </w:r>
    </w:p>
    <w:p>
      <w:pPr>
        <w:pageBreakBefore w:val="0"/>
        <w:widowControl w:val="0"/>
        <w:numPr>
          <w:ilvl w:val="0"/>
          <w:numId w:val="0"/>
        </w:numPr>
        <w:kinsoku/>
        <w:wordWrap/>
        <w:overflowPunct/>
        <w:topLinePunct w:val="0"/>
        <w:autoSpaceDE/>
        <w:autoSpaceDN/>
        <w:bidi w:val="0"/>
        <w:spacing w:line="360" w:lineRule="auto"/>
        <w:ind w:leftChars="0"/>
        <w:textAlignment w:val="auto"/>
        <w:outlineLvl w:val="0"/>
        <w:rPr>
          <w:rFonts w:hint="eastAsia" w:ascii="Arial" w:hAnsi="Arial" w:eastAsia="宋体" w:cs="Arial"/>
          <w:b/>
          <w:bCs/>
          <w:i w:val="0"/>
          <w:caps w:val="0"/>
          <w:color w:val="333333"/>
          <w:spacing w:val="0"/>
          <w:sz w:val="28"/>
          <w:szCs w:val="28"/>
          <w:highlight w:val="none"/>
          <w:shd w:val="clear" w:fill="FFFFFF"/>
          <w:lang w:val="en-US" w:eastAsia="zh-CN"/>
        </w:rPr>
      </w:pPr>
      <w:bookmarkStart w:id="165" w:name="_Toc31287"/>
      <w:bookmarkStart w:id="166" w:name="_GoBack"/>
      <w:bookmarkEnd w:id="166"/>
      <w:r>
        <w:rPr>
          <w:rFonts w:hint="eastAsia" w:ascii="Arial" w:hAnsi="Arial" w:eastAsia="宋体" w:cs="Arial"/>
          <w:b/>
          <w:bCs/>
          <w:i w:val="0"/>
          <w:caps w:val="0"/>
          <w:color w:val="333333"/>
          <w:spacing w:val="0"/>
          <w:sz w:val="28"/>
          <w:szCs w:val="28"/>
          <w:highlight w:val="none"/>
          <w:shd w:val="clear" w:fill="FFFFFF"/>
          <w:lang w:val="en-US" w:eastAsia="zh-CN"/>
        </w:rPr>
        <w:t>维护记录</w:t>
      </w:r>
      <w:bookmarkEnd w:id="165"/>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2022年2月新增2条：2.24、5.22</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2022年3月新增3条：1.14、2.25、4.23；修改1条：5.07</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2022年4月新增4条：1.15、3.16、3.17、5.23 ；修改1条：5.07.02</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2022年5月新增2条：2.26、5.24 ；修改1条：1.15</w:t>
      </w:r>
    </w:p>
    <w:p>
      <w:pPr>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Theme="minorEastAsia" w:hAnsiTheme="minorEastAsia" w:cstheme="minorEastAsia"/>
          <w:sz w:val="21"/>
          <w:szCs w:val="21"/>
          <w:lang w:val="en-US" w:eastAsia="zh-CN"/>
        </w:rPr>
      </w:pPr>
    </w:p>
    <w:sectPr>
      <w:headerReference r:id="rId3" w:type="default"/>
      <w:footerReference r:id="rId4" w:type="default"/>
      <w:pgSz w:w="11906" w:h="16838"/>
      <w:pgMar w:top="1440" w:right="991" w:bottom="1440" w:left="99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Dialog . plai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39</w:t>
                </w:r>
                <w:r>
                  <w:rPr>
                    <w:rFonts w:hint="eastAsia"/>
                    <w:lang w:eastAsia="zh-CN"/>
                  </w:rPr>
                  <w:fldChar w:fldCharType="end"/>
                </w:r>
                <w:r>
                  <w:rPr>
                    <w:rFonts w:hint="eastAsia"/>
                    <w:lang w:eastAsia="zh-CN"/>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hint="eastAsia"/>
        <w:lang w:val="en-US" w:eastAsia="zh-CN"/>
      </w:rPr>
    </w:pPr>
  </w:p>
  <w:p>
    <w:pPr>
      <w:pStyle w:val="7"/>
      <w:jc w:val="left"/>
      <w:rPr>
        <w:rFonts w:hint="default" w:eastAsiaTheme="minorEastAsia"/>
        <w:lang w:val="en-US" w:eastAsia="zh-CN"/>
      </w:rPr>
    </w:pPr>
    <w:r>
      <w:rPr>
        <w:rFonts w:hint="eastAsia"/>
        <w:lang w:val="en-US" w:eastAsia="zh-CN"/>
      </w:rPr>
      <w:t xml:space="preserve">HSGZ-03901账务处理回答问题收集V20220228                                                      </w:t>
    </w:r>
    <w:r>
      <w:rPr>
        <w:rFonts w:ascii="宋体" w:hAnsi="宋体" w:eastAsia="宋体" w:cs="宋体"/>
        <w:kern w:val="0"/>
        <w:sz w:val="24"/>
        <w:szCs w:val="24"/>
      </w:rPr>
      <w:drawing>
        <wp:inline distT="0" distB="0" distL="0" distR="0">
          <wp:extent cx="884555" cy="352425"/>
          <wp:effectExtent l="0" t="0" r="10795" b="9525"/>
          <wp:docPr id="13" name="图片 13" descr="C:\Users\lenovo\Documents\Tencent Files\568383310\Image\Group\NJ_MLH4{9$_$VIRH29BA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ocuments\Tencent Files\568383310\Image\Group\NJ_MLH4{9$_$VIRH29BA98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8468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8DDEC1"/>
    <w:multiLevelType w:val="singleLevel"/>
    <w:tmpl w:val="A78DDEC1"/>
    <w:lvl w:ilvl="0" w:tentative="0">
      <w:start w:val="1"/>
      <w:numFmt w:val="decimal"/>
      <w:suff w:val="nothing"/>
      <w:lvlText w:val="%1）"/>
      <w:lvlJc w:val="left"/>
    </w:lvl>
  </w:abstractNum>
  <w:abstractNum w:abstractNumId="1">
    <w:nsid w:val="AB523C91"/>
    <w:multiLevelType w:val="singleLevel"/>
    <w:tmpl w:val="AB523C91"/>
    <w:lvl w:ilvl="0" w:tentative="0">
      <w:start w:val="1"/>
      <w:numFmt w:val="decimal"/>
      <w:suff w:val="nothing"/>
      <w:lvlText w:val="%1）"/>
      <w:lvlJc w:val="left"/>
    </w:lvl>
  </w:abstractNum>
  <w:abstractNum w:abstractNumId="2">
    <w:nsid w:val="B376CCCC"/>
    <w:multiLevelType w:val="singleLevel"/>
    <w:tmpl w:val="B376CCCC"/>
    <w:lvl w:ilvl="0" w:tentative="0">
      <w:start w:val="1"/>
      <w:numFmt w:val="decimal"/>
      <w:suff w:val="nothing"/>
      <w:lvlText w:val="%1）"/>
      <w:lvlJc w:val="left"/>
    </w:lvl>
  </w:abstractNum>
  <w:abstractNum w:abstractNumId="3">
    <w:nsid w:val="D7F691E2"/>
    <w:multiLevelType w:val="singleLevel"/>
    <w:tmpl w:val="D7F691E2"/>
    <w:lvl w:ilvl="0" w:tentative="0">
      <w:start w:val="1"/>
      <w:numFmt w:val="decimal"/>
      <w:suff w:val="nothing"/>
      <w:lvlText w:val="%1）"/>
      <w:lvlJc w:val="left"/>
    </w:lvl>
  </w:abstractNum>
  <w:abstractNum w:abstractNumId="4">
    <w:nsid w:val="DE154FDA"/>
    <w:multiLevelType w:val="singleLevel"/>
    <w:tmpl w:val="DE154FDA"/>
    <w:lvl w:ilvl="0" w:tentative="0">
      <w:start w:val="1"/>
      <w:numFmt w:val="decimal"/>
      <w:suff w:val="nothing"/>
      <w:lvlText w:val="%1）"/>
      <w:lvlJc w:val="left"/>
    </w:lvl>
  </w:abstractNum>
  <w:abstractNum w:abstractNumId="5">
    <w:nsid w:val="DF1F7E2D"/>
    <w:multiLevelType w:val="singleLevel"/>
    <w:tmpl w:val="DF1F7E2D"/>
    <w:lvl w:ilvl="0" w:tentative="0">
      <w:start w:val="1"/>
      <w:numFmt w:val="decimal"/>
      <w:suff w:val="nothing"/>
      <w:lvlText w:val="%1）"/>
      <w:lvlJc w:val="left"/>
    </w:lvl>
  </w:abstractNum>
  <w:abstractNum w:abstractNumId="6">
    <w:nsid w:val="0A71461C"/>
    <w:multiLevelType w:val="multilevel"/>
    <w:tmpl w:val="0A71461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B0C0029"/>
    <w:multiLevelType w:val="multilevel"/>
    <w:tmpl w:val="0B0C0029"/>
    <w:lvl w:ilvl="0" w:tentative="0">
      <w:start w:val="1"/>
      <w:numFmt w:val="upperLetter"/>
      <w:lvlText w:val="%1、"/>
      <w:lvlJc w:val="left"/>
      <w:pPr>
        <w:ind w:left="360" w:hanging="360"/>
      </w:pPr>
      <w:rPr>
        <w:rFonts w:asciiTheme="minorHAnsi" w:hAnsiTheme="minorHAnsi" w:eastAsiaTheme="minorEastAsia"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F6955CD"/>
    <w:multiLevelType w:val="singleLevel"/>
    <w:tmpl w:val="0F6955CD"/>
    <w:lvl w:ilvl="0" w:tentative="0">
      <w:start w:val="1"/>
      <w:numFmt w:val="decimal"/>
      <w:suff w:val="nothing"/>
      <w:lvlText w:val="%1）"/>
      <w:lvlJc w:val="left"/>
    </w:lvl>
  </w:abstractNum>
  <w:abstractNum w:abstractNumId="9">
    <w:nsid w:val="12246F35"/>
    <w:multiLevelType w:val="singleLevel"/>
    <w:tmpl w:val="12246F35"/>
    <w:lvl w:ilvl="0" w:tentative="0">
      <w:start w:val="1"/>
      <w:numFmt w:val="decimal"/>
      <w:suff w:val="nothing"/>
      <w:lvlText w:val="%1）"/>
      <w:lvlJc w:val="left"/>
    </w:lvl>
  </w:abstractNum>
  <w:abstractNum w:abstractNumId="10">
    <w:nsid w:val="1D984E2B"/>
    <w:multiLevelType w:val="singleLevel"/>
    <w:tmpl w:val="1D984E2B"/>
    <w:lvl w:ilvl="0" w:tentative="0">
      <w:start w:val="1"/>
      <w:numFmt w:val="upperLetter"/>
      <w:suff w:val="nothing"/>
      <w:lvlText w:val="%1、"/>
      <w:lvlJc w:val="left"/>
    </w:lvl>
  </w:abstractNum>
  <w:abstractNum w:abstractNumId="11">
    <w:nsid w:val="1E5E2E07"/>
    <w:multiLevelType w:val="multilevel"/>
    <w:tmpl w:val="1E5E2E07"/>
    <w:lvl w:ilvl="0" w:tentative="0">
      <w:start w:val="1"/>
      <w:numFmt w:val="lowerLetter"/>
      <w:lvlText w:val="%1、"/>
      <w:lvlJc w:val="left"/>
      <w:pPr>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0C5BA52"/>
    <w:multiLevelType w:val="singleLevel"/>
    <w:tmpl w:val="30C5BA52"/>
    <w:lvl w:ilvl="0" w:tentative="0">
      <w:start w:val="1"/>
      <w:numFmt w:val="upperLetter"/>
      <w:suff w:val="nothing"/>
      <w:lvlText w:val="%1、"/>
      <w:lvlJc w:val="left"/>
    </w:lvl>
  </w:abstractNum>
  <w:abstractNum w:abstractNumId="13">
    <w:nsid w:val="3410BB95"/>
    <w:multiLevelType w:val="singleLevel"/>
    <w:tmpl w:val="3410BB95"/>
    <w:lvl w:ilvl="0" w:tentative="0">
      <w:start w:val="1"/>
      <w:numFmt w:val="decimal"/>
      <w:suff w:val="nothing"/>
      <w:lvlText w:val="%1）"/>
      <w:lvlJc w:val="left"/>
    </w:lvl>
  </w:abstractNum>
  <w:abstractNum w:abstractNumId="14">
    <w:nsid w:val="34BBA0A0"/>
    <w:multiLevelType w:val="singleLevel"/>
    <w:tmpl w:val="34BBA0A0"/>
    <w:lvl w:ilvl="0" w:tentative="0">
      <w:start w:val="2"/>
      <w:numFmt w:val="decimal"/>
      <w:suff w:val="nothing"/>
      <w:lvlText w:val="（%1）"/>
      <w:lvlJc w:val="left"/>
    </w:lvl>
  </w:abstractNum>
  <w:abstractNum w:abstractNumId="15">
    <w:nsid w:val="360A52D9"/>
    <w:multiLevelType w:val="multilevel"/>
    <w:tmpl w:val="360A52D9"/>
    <w:lvl w:ilvl="0" w:tentative="0">
      <w:start w:val="3"/>
      <w:numFmt w:val="lowerLetter"/>
      <w:lvlText w:val="%1、"/>
      <w:lvlJc w:val="left"/>
      <w:pPr>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395BC04"/>
    <w:multiLevelType w:val="singleLevel"/>
    <w:tmpl w:val="5395BC04"/>
    <w:lvl w:ilvl="0" w:tentative="0">
      <w:start w:val="1"/>
      <w:numFmt w:val="upperLetter"/>
      <w:suff w:val="nothing"/>
      <w:lvlText w:val="%1、"/>
      <w:lvlJc w:val="left"/>
    </w:lvl>
  </w:abstractNum>
  <w:abstractNum w:abstractNumId="17">
    <w:nsid w:val="66E1A480"/>
    <w:multiLevelType w:val="singleLevel"/>
    <w:tmpl w:val="66E1A480"/>
    <w:lvl w:ilvl="0" w:tentative="0">
      <w:start w:val="1"/>
      <w:numFmt w:val="decimal"/>
      <w:suff w:val="nothing"/>
      <w:lvlText w:val="%1）"/>
      <w:lvlJc w:val="left"/>
    </w:lvl>
  </w:abstractNum>
  <w:abstractNum w:abstractNumId="18">
    <w:nsid w:val="6A6F04B2"/>
    <w:multiLevelType w:val="singleLevel"/>
    <w:tmpl w:val="6A6F04B2"/>
    <w:lvl w:ilvl="0" w:tentative="0">
      <w:start w:val="1"/>
      <w:numFmt w:val="upperLetter"/>
      <w:suff w:val="nothing"/>
      <w:lvlText w:val="%1、"/>
      <w:lvlJc w:val="left"/>
    </w:lvl>
  </w:abstractNum>
  <w:abstractNum w:abstractNumId="19">
    <w:nsid w:val="6BDB7CF1"/>
    <w:multiLevelType w:val="singleLevel"/>
    <w:tmpl w:val="6BDB7CF1"/>
    <w:lvl w:ilvl="0" w:tentative="0">
      <w:start w:val="1"/>
      <w:numFmt w:val="decimal"/>
      <w:suff w:val="nothing"/>
      <w:lvlText w:val="%1）"/>
      <w:lvlJc w:val="left"/>
    </w:lvl>
  </w:abstractNum>
  <w:abstractNum w:abstractNumId="20">
    <w:nsid w:val="74B22322"/>
    <w:multiLevelType w:val="singleLevel"/>
    <w:tmpl w:val="74B22322"/>
    <w:lvl w:ilvl="0" w:tentative="0">
      <w:start w:val="1"/>
      <w:numFmt w:val="decimal"/>
      <w:suff w:val="nothing"/>
      <w:lvlText w:val="%1）"/>
      <w:lvlJc w:val="left"/>
    </w:lvl>
  </w:abstractNum>
  <w:abstractNum w:abstractNumId="21">
    <w:nsid w:val="74C665E8"/>
    <w:multiLevelType w:val="singleLevel"/>
    <w:tmpl w:val="74C665E8"/>
    <w:lvl w:ilvl="0" w:tentative="0">
      <w:start w:val="1"/>
      <w:numFmt w:val="decimal"/>
      <w:suff w:val="nothing"/>
      <w:lvlText w:val="%1）"/>
      <w:lvlJc w:val="left"/>
    </w:lvl>
  </w:abstractNum>
  <w:num w:numId="1">
    <w:abstractNumId w:val="19"/>
  </w:num>
  <w:num w:numId="2">
    <w:abstractNumId w:val="3"/>
  </w:num>
  <w:num w:numId="3">
    <w:abstractNumId w:val="9"/>
  </w:num>
  <w:num w:numId="4">
    <w:abstractNumId w:val="5"/>
  </w:num>
  <w:num w:numId="5">
    <w:abstractNumId w:val="0"/>
  </w:num>
  <w:num w:numId="6">
    <w:abstractNumId w:val="6"/>
  </w:num>
  <w:num w:numId="7">
    <w:abstractNumId w:val="1"/>
  </w:num>
  <w:num w:numId="8">
    <w:abstractNumId w:val="12"/>
  </w:num>
  <w:num w:numId="9">
    <w:abstractNumId w:val="21"/>
  </w:num>
  <w:num w:numId="10">
    <w:abstractNumId w:val="13"/>
  </w:num>
  <w:num w:numId="11">
    <w:abstractNumId w:val="1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0"/>
  </w:num>
  <w:num w:numId="16">
    <w:abstractNumId w:val="17"/>
  </w:num>
  <w:num w:numId="17">
    <w:abstractNumId w:val="4"/>
  </w:num>
  <w:num w:numId="18">
    <w:abstractNumId w:val="8"/>
  </w:num>
  <w:num w:numId="19">
    <w:abstractNumId w:val="16"/>
  </w:num>
  <w:num w:numId="20">
    <w:abstractNumId w:val="20"/>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44DC"/>
    <w:rsid w:val="000050A8"/>
    <w:rsid w:val="00015E19"/>
    <w:rsid w:val="00021367"/>
    <w:rsid w:val="00034A5F"/>
    <w:rsid w:val="00043E3E"/>
    <w:rsid w:val="00061123"/>
    <w:rsid w:val="00063B74"/>
    <w:rsid w:val="00066DEE"/>
    <w:rsid w:val="00072B54"/>
    <w:rsid w:val="000741A1"/>
    <w:rsid w:val="000A09AE"/>
    <w:rsid w:val="000A333D"/>
    <w:rsid w:val="000B2C33"/>
    <w:rsid w:val="000B7665"/>
    <w:rsid w:val="000C4B59"/>
    <w:rsid w:val="000D397B"/>
    <w:rsid w:val="000D4CDD"/>
    <w:rsid w:val="000F18BE"/>
    <w:rsid w:val="000F5BC0"/>
    <w:rsid w:val="000F7F7C"/>
    <w:rsid w:val="00102131"/>
    <w:rsid w:val="00112847"/>
    <w:rsid w:val="0011426F"/>
    <w:rsid w:val="00123200"/>
    <w:rsid w:val="00132D09"/>
    <w:rsid w:val="001431DD"/>
    <w:rsid w:val="001547CB"/>
    <w:rsid w:val="00163449"/>
    <w:rsid w:val="00186B86"/>
    <w:rsid w:val="001927DA"/>
    <w:rsid w:val="00197203"/>
    <w:rsid w:val="001A30C2"/>
    <w:rsid w:val="001B1173"/>
    <w:rsid w:val="001B1758"/>
    <w:rsid w:val="001B5AB9"/>
    <w:rsid w:val="001D6758"/>
    <w:rsid w:val="001E172F"/>
    <w:rsid w:val="001F6620"/>
    <w:rsid w:val="002001AB"/>
    <w:rsid w:val="00204919"/>
    <w:rsid w:val="0021688A"/>
    <w:rsid w:val="00233A2E"/>
    <w:rsid w:val="00236179"/>
    <w:rsid w:val="00237E64"/>
    <w:rsid w:val="002404EF"/>
    <w:rsid w:val="0026138E"/>
    <w:rsid w:val="0026632E"/>
    <w:rsid w:val="002711CD"/>
    <w:rsid w:val="0027605D"/>
    <w:rsid w:val="00280EE4"/>
    <w:rsid w:val="00292675"/>
    <w:rsid w:val="002A4B96"/>
    <w:rsid w:val="002A7503"/>
    <w:rsid w:val="002B7314"/>
    <w:rsid w:val="002D10CF"/>
    <w:rsid w:val="002D1950"/>
    <w:rsid w:val="002E2857"/>
    <w:rsid w:val="002F0E55"/>
    <w:rsid w:val="00304BDC"/>
    <w:rsid w:val="00316257"/>
    <w:rsid w:val="00316899"/>
    <w:rsid w:val="003304AC"/>
    <w:rsid w:val="00336E9B"/>
    <w:rsid w:val="003575FE"/>
    <w:rsid w:val="0036087E"/>
    <w:rsid w:val="00360EF7"/>
    <w:rsid w:val="00361E60"/>
    <w:rsid w:val="00373C54"/>
    <w:rsid w:val="003A2403"/>
    <w:rsid w:val="003A782F"/>
    <w:rsid w:val="003B6F2B"/>
    <w:rsid w:val="003C1208"/>
    <w:rsid w:val="003D7AAD"/>
    <w:rsid w:val="003E1C75"/>
    <w:rsid w:val="004018FD"/>
    <w:rsid w:val="00405D63"/>
    <w:rsid w:val="00421934"/>
    <w:rsid w:val="00425A96"/>
    <w:rsid w:val="00451809"/>
    <w:rsid w:val="004609AF"/>
    <w:rsid w:val="00461737"/>
    <w:rsid w:val="00477EC2"/>
    <w:rsid w:val="004802A7"/>
    <w:rsid w:val="0048063B"/>
    <w:rsid w:val="00480D3E"/>
    <w:rsid w:val="004A1FDB"/>
    <w:rsid w:val="004B1A1F"/>
    <w:rsid w:val="004D4BD7"/>
    <w:rsid w:val="004D695B"/>
    <w:rsid w:val="004F5E57"/>
    <w:rsid w:val="0050429A"/>
    <w:rsid w:val="005208F0"/>
    <w:rsid w:val="005235A8"/>
    <w:rsid w:val="00530BF4"/>
    <w:rsid w:val="00556C08"/>
    <w:rsid w:val="005609DB"/>
    <w:rsid w:val="00563622"/>
    <w:rsid w:val="00583A7A"/>
    <w:rsid w:val="005845BB"/>
    <w:rsid w:val="00595C32"/>
    <w:rsid w:val="00597A91"/>
    <w:rsid w:val="005A5B03"/>
    <w:rsid w:val="005A5F1A"/>
    <w:rsid w:val="005B0B45"/>
    <w:rsid w:val="005B5107"/>
    <w:rsid w:val="005D0EC0"/>
    <w:rsid w:val="005D2FEE"/>
    <w:rsid w:val="005E73F3"/>
    <w:rsid w:val="006005BF"/>
    <w:rsid w:val="00600B45"/>
    <w:rsid w:val="00606B35"/>
    <w:rsid w:val="00621E95"/>
    <w:rsid w:val="0062636D"/>
    <w:rsid w:val="00627DB6"/>
    <w:rsid w:val="0064732D"/>
    <w:rsid w:val="00647350"/>
    <w:rsid w:val="006521BE"/>
    <w:rsid w:val="00661249"/>
    <w:rsid w:val="006638F3"/>
    <w:rsid w:val="00673A26"/>
    <w:rsid w:val="00680D5D"/>
    <w:rsid w:val="006A2096"/>
    <w:rsid w:val="006B5B6D"/>
    <w:rsid w:val="006E43AE"/>
    <w:rsid w:val="006F6D55"/>
    <w:rsid w:val="00706601"/>
    <w:rsid w:val="00711558"/>
    <w:rsid w:val="00714190"/>
    <w:rsid w:val="007211E6"/>
    <w:rsid w:val="0073344E"/>
    <w:rsid w:val="007354C2"/>
    <w:rsid w:val="00743228"/>
    <w:rsid w:val="0075153F"/>
    <w:rsid w:val="007533EA"/>
    <w:rsid w:val="00756EAF"/>
    <w:rsid w:val="00770B0B"/>
    <w:rsid w:val="007719EA"/>
    <w:rsid w:val="00775830"/>
    <w:rsid w:val="00795795"/>
    <w:rsid w:val="007B104B"/>
    <w:rsid w:val="007B1520"/>
    <w:rsid w:val="007C587D"/>
    <w:rsid w:val="007D0FD9"/>
    <w:rsid w:val="007F262D"/>
    <w:rsid w:val="008102D4"/>
    <w:rsid w:val="008358C1"/>
    <w:rsid w:val="0083598D"/>
    <w:rsid w:val="0084288A"/>
    <w:rsid w:val="00857248"/>
    <w:rsid w:val="00862896"/>
    <w:rsid w:val="008662A5"/>
    <w:rsid w:val="008843E5"/>
    <w:rsid w:val="00885870"/>
    <w:rsid w:val="00892FE7"/>
    <w:rsid w:val="00896B16"/>
    <w:rsid w:val="008A3875"/>
    <w:rsid w:val="008D4A38"/>
    <w:rsid w:val="008F1464"/>
    <w:rsid w:val="009022E3"/>
    <w:rsid w:val="00911DA8"/>
    <w:rsid w:val="00924EE9"/>
    <w:rsid w:val="009272DB"/>
    <w:rsid w:val="00934AD9"/>
    <w:rsid w:val="00954825"/>
    <w:rsid w:val="00956494"/>
    <w:rsid w:val="00957420"/>
    <w:rsid w:val="00970D4E"/>
    <w:rsid w:val="00973296"/>
    <w:rsid w:val="0099290B"/>
    <w:rsid w:val="0099602B"/>
    <w:rsid w:val="0099667E"/>
    <w:rsid w:val="00997632"/>
    <w:rsid w:val="009B2AD6"/>
    <w:rsid w:val="009B3A73"/>
    <w:rsid w:val="009C2A4E"/>
    <w:rsid w:val="009D4ECD"/>
    <w:rsid w:val="009D5AFE"/>
    <w:rsid w:val="009E2345"/>
    <w:rsid w:val="00A2021E"/>
    <w:rsid w:val="00A259FF"/>
    <w:rsid w:val="00A410C9"/>
    <w:rsid w:val="00A51374"/>
    <w:rsid w:val="00A54493"/>
    <w:rsid w:val="00A6743F"/>
    <w:rsid w:val="00A81487"/>
    <w:rsid w:val="00A84777"/>
    <w:rsid w:val="00A91D37"/>
    <w:rsid w:val="00AA2893"/>
    <w:rsid w:val="00AA76CB"/>
    <w:rsid w:val="00AC01B1"/>
    <w:rsid w:val="00AC6801"/>
    <w:rsid w:val="00AD0122"/>
    <w:rsid w:val="00AE1326"/>
    <w:rsid w:val="00AF34C0"/>
    <w:rsid w:val="00AF63EA"/>
    <w:rsid w:val="00AF6B91"/>
    <w:rsid w:val="00B15581"/>
    <w:rsid w:val="00B3027A"/>
    <w:rsid w:val="00B31783"/>
    <w:rsid w:val="00B400DE"/>
    <w:rsid w:val="00B52E7C"/>
    <w:rsid w:val="00B54DAD"/>
    <w:rsid w:val="00B56F62"/>
    <w:rsid w:val="00B57A4D"/>
    <w:rsid w:val="00B666CE"/>
    <w:rsid w:val="00B75FCD"/>
    <w:rsid w:val="00B76253"/>
    <w:rsid w:val="00B76C2D"/>
    <w:rsid w:val="00B87198"/>
    <w:rsid w:val="00B93313"/>
    <w:rsid w:val="00B97770"/>
    <w:rsid w:val="00BA3236"/>
    <w:rsid w:val="00BB7889"/>
    <w:rsid w:val="00BB7B50"/>
    <w:rsid w:val="00BC77A1"/>
    <w:rsid w:val="00BD341A"/>
    <w:rsid w:val="00BE39D6"/>
    <w:rsid w:val="00BE6424"/>
    <w:rsid w:val="00BF1CD7"/>
    <w:rsid w:val="00BF4145"/>
    <w:rsid w:val="00C03A5B"/>
    <w:rsid w:val="00C074EA"/>
    <w:rsid w:val="00C10489"/>
    <w:rsid w:val="00C226FF"/>
    <w:rsid w:val="00C25369"/>
    <w:rsid w:val="00C3155F"/>
    <w:rsid w:val="00C47661"/>
    <w:rsid w:val="00C52275"/>
    <w:rsid w:val="00C55A19"/>
    <w:rsid w:val="00C70D15"/>
    <w:rsid w:val="00C73267"/>
    <w:rsid w:val="00C860AE"/>
    <w:rsid w:val="00C97111"/>
    <w:rsid w:val="00CA16DD"/>
    <w:rsid w:val="00CA7AF8"/>
    <w:rsid w:val="00CB24F3"/>
    <w:rsid w:val="00CB5091"/>
    <w:rsid w:val="00CB71C9"/>
    <w:rsid w:val="00CC0986"/>
    <w:rsid w:val="00CD53CE"/>
    <w:rsid w:val="00CD6569"/>
    <w:rsid w:val="00CE4CF1"/>
    <w:rsid w:val="00CE7F72"/>
    <w:rsid w:val="00D066D5"/>
    <w:rsid w:val="00D17042"/>
    <w:rsid w:val="00D3614B"/>
    <w:rsid w:val="00D458AE"/>
    <w:rsid w:val="00D50F85"/>
    <w:rsid w:val="00D5225F"/>
    <w:rsid w:val="00D65239"/>
    <w:rsid w:val="00D7764B"/>
    <w:rsid w:val="00D80DC3"/>
    <w:rsid w:val="00D82843"/>
    <w:rsid w:val="00D83B34"/>
    <w:rsid w:val="00DA1D71"/>
    <w:rsid w:val="00DC4F80"/>
    <w:rsid w:val="00DD0F42"/>
    <w:rsid w:val="00DD308A"/>
    <w:rsid w:val="00DD68B1"/>
    <w:rsid w:val="00DD6FC7"/>
    <w:rsid w:val="00DE74CB"/>
    <w:rsid w:val="00E00583"/>
    <w:rsid w:val="00E00D6B"/>
    <w:rsid w:val="00E046E1"/>
    <w:rsid w:val="00E3373A"/>
    <w:rsid w:val="00E377D3"/>
    <w:rsid w:val="00E44815"/>
    <w:rsid w:val="00E6210C"/>
    <w:rsid w:val="00E73281"/>
    <w:rsid w:val="00E75C7A"/>
    <w:rsid w:val="00E76394"/>
    <w:rsid w:val="00E77314"/>
    <w:rsid w:val="00E948B3"/>
    <w:rsid w:val="00EA7251"/>
    <w:rsid w:val="00EC18E9"/>
    <w:rsid w:val="00EE1402"/>
    <w:rsid w:val="00EE4104"/>
    <w:rsid w:val="00EE5F17"/>
    <w:rsid w:val="00EE6F88"/>
    <w:rsid w:val="00EF0160"/>
    <w:rsid w:val="00F151F8"/>
    <w:rsid w:val="00F23D5D"/>
    <w:rsid w:val="00F33440"/>
    <w:rsid w:val="00F343F5"/>
    <w:rsid w:val="00F50DDE"/>
    <w:rsid w:val="00F51F70"/>
    <w:rsid w:val="00F53586"/>
    <w:rsid w:val="00F54E15"/>
    <w:rsid w:val="00F64802"/>
    <w:rsid w:val="00F65ED9"/>
    <w:rsid w:val="00F67F40"/>
    <w:rsid w:val="00F74604"/>
    <w:rsid w:val="00F819D0"/>
    <w:rsid w:val="00F85984"/>
    <w:rsid w:val="00F87933"/>
    <w:rsid w:val="00FA4E9F"/>
    <w:rsid w:val="00FB52A2"/>
    <w:rsid w:val="00FB7558"/>
    <w:rsid w:val="00FC129E"/>
    <w:rsid w:val="00FC24DC"/>
    <w:rsid w:val="00FD2E32"/>
    <w:rsid w:val="00FD782E"/>
    <w:rsid w:val="00FE3748"/>
    <w:rsid w:val="00FF7B47"/>
    <w:rsid w:val="01437DBB"/>
    <w:rsid w:val="01A20687"/>
    <w:rsid w:val="01B47DC9"/>
    <w:rsid w:val="01BC26C9"/>
    <w:rsid w:val="021B1D0F"/>
    <w:rsid w:val="022004EB"/>
    <w:rsid w:val="02590DEE"/>
    <w:rsid w:val="02C36803"/>
    <w:rsid w:val="030434EE"/>
    <w:rsid w:val="031419A6"/>
    <w:rsid w:val="037A2421"/>
    <w:rsid w:val="039D6AD9"/>
    <w:rsid w:val="03BC46C6"/>
    <w:rsid w:val="03F56BDD"/>
    <w:rsid w:val="04761E46"/>
    <w:rsid w:val="04D233CD"/>
    <w:rsid w:val="04DF730F"/>
    <w:rsid w:val="05393787"/>
    <w:rsid w:val="058C574B"/>
    <w:rsid w:val="059350BA"/>
    <w:rsid w:val="06C1273E"/>
    <w:rsid w:val="06DC0197"/>
    <w:rsid w:val="075B5D40"/>
    <w:rsid w:val="07A4166C"/>
    <w:rsid w:val="082B4660"/>
    <w:rsid w:val="08344210"/>
    <w:rsid w:val="08733D83"/>
    <w:rsid w:val="08761655"/>
    <w:rsid w:val="08A17AA9"/>
    <w:rsid w:val="08B13D9A"/>
    <w:rsid w:val="092D64D7"/>
    <w:rsid w:val="09844993"/>
    <w:rsid w:val="099A075C"/>
    <w:rsid w:val="09BE1875"/>
    <w:rsid w:val="0A0E5AF0"/>
    <w:rsid w:val="0A4E0B28"/>
    <w:rsid w:val="0A661F72"/>
    <w:rsid w:val="0B1B72FA"/>
    <w:rsid w:val="0B526F67"/>
    <w:rsid w:val="0B53364A"/>
    <w:rsid w:val="0C0F28E7"/>
    <w:rsid w:val="0C3720D2"/>
    <w:rsid w:val="0C9C5861"/>
    <w:rsid w:val="0CA772A2"/>
    <w:rsid w:val="0CBD1777"/>
    <w:rsid w:val="0CBF6FBA"/>
    <w:rsid w:val="0CC90BA6"/>
    <w:rsid w:val="0CCC536B"/>
    <w:rsid w:val="0D1676C7"/>
    <w:rsid w:val="0D2F656C"/>
    <w:rsid w:val="0D5A0FE6"/>
    <w:rsid w:val="0D755FF2"/>
    <w:rsid w:val="0D8D3DB2"/>
    <w:rsid w:val="0DCA4495"/>
    <w:rsid w:val="0DEA1E3A"/>
    <w:rsid w:val="0E2B0F01"/>
    <w:rsid w:val="0E4F032B"/>
    <w:rsid w:val="0E6F642D"/>
    <w:rsid w:val="0E82122D"/>
    <w:rsid w:val="0EB83BEF"/>
    <w:rsid w:val="0EBA1544"/>
    <w:rsid w:val="0ECA4359"/>
    <w:rsid w:val="0F54620E"/>
    <w:rsid w:val="0FB93C02"/>
    <w:rsid w:val="100D394F"/>
    <w:rsid w:val="104A7F09"/>
    <w:rsid w:val="112516B7"/>
    <w:rsid w:val="119040E0"/>
    <w:rsid w:val="11F80338"/>
    <w:rsid w:val="12137B11"/>
    <w:rsid w:val="12761016"/>
    <w:rsid w:val="129C4C8C"/>
    <w:rsid w:val="12DF3AA1"/>
    <w:rsid w:val="13374687"/>
    <w:rsid w:val="134628AF"/>
    <w:rsid w:val="1371492C"/>
    <w:rsid w:val="13E8474E"/>
    <w:rsid w:val="141C281D"/>
    <w:rsid w:val="14270826"/>
    <w:rsid w:val="143945D9"/>
    <w:rsid w:val="14434BA0"/>
    <w:rsid w:val="146166C7"/>
    <w:rsid w:val="148A629C"/>
    <w:rsid w:val="14A52D6B"/>
    <w:rsid w:val="14C40066"/>
    <w:rsid w:val="14E64AF6"/>
    <w:rsid w:val="154169C5"/>
    <w:rsid w:val="15884CCF"/>
    <w:rsid w:val="15AD495D"/>
    <w:rsid w:val="15BD62E0"/>
    <w:rsid w:val="15DE5FDB"/>
    <w:rsid w:val="16125168"/>
    <w:rsid w:val="16147D8B"/>
    <w:rsid w:val="1654789E"/>
    <w:rsid w:val="169B37F1"/>
    <w:rsid w:val="16A00333"/>
    <w:rsid w:val="16EE3347"/>
    <w:rsid w:val="16F62A93"/>
    <w:rsid w:val="171F5DCB"/>
    <w:rsid w:val="176A5F0F"/>
    <w:rsid w:val="17B737AE"/>
    <w:rsid w:val="17C12A79"/>
    <w:rsid w:val="180425F5"/>
    <w:rsid w:val="18581A8D"/>
    <w:rsid w:val="18592E4E"/>
    <w:rsid w:val="18AF23E0"/>
    <w:rsid w:val="199F0895"/>
    <w:rsid w:val="1A1E5065"/>
    <w:rsid w:val="1A3F6E1A"/>
    <w:rsid w:val="1A7B7FC0"/>
    <w:rsid w:val="1AE1483D"/>
    <w:rsid w:val="1B153734"/>
    <w:rsid w:val="1B2311EA"/>
    <w:rsid w:val="1B2940BD"/>
    <w:rsid w:val="1B792A7C"/>
    <w:rsid w:val="1B962400"/>
    <w:rsid w:val="1BA73991"/>
    <w:rsid w:val="1C5E2567"/>
    <w:rsid w:val="1C5F2B6C"/>
    <w:rsid w:val="1C830CF3"/>
    <w:rsid w:val="1CAE4E5B"/>
    <w:rsid w:val="1CB12956"/>
    <w:rsid w:val="1CFD25C0"/>
    <w:rsid w:val="1D973BA6"/>
    <w:rsid w:val="1DAB5AA5"/>
    <w:rsid w:val="1DC24AF0"/>
    <w:rsid w:val="1DE66375"/>
    <w:rsid w:val="1DF1556F"/>
    <w:rsid w:val="1E0711A2"/>
    <w:rsid w:val="1E436C3F"/>
    <w:rsid w:val="1E941163"/>
    <w:rsid w:val="1EC21B5E"/>
    <w:rsid w:val="1EE9189F"/>
    <w:rsid w:val="1EED015C"/>
    <w:rsid w:val="1F406219"/>
    <w:rsid w:val="1F6E00F9"/>
    <w:rsid w:val="1F887272"/>
    <w:rsid w:val="1FA80F1F"/>
    <w:rsid w:val="1FBF13D6"/>
    <w:rsid w:val="1FC424CD"/>
    <w:rsid w:val="1FCD585E"/>
    <w:rsid w:val="200E1449"/>
    <w:rsid w:val="20702E7D"/>
    <w:rsid w:val="20C35F16"/>
    <w:rsid w:val="21042EDF"/>
    <w:rsid w:val="210B5F89"/>
    <w:rsid w:val="21130806"/>
    <w:rsid w:val="21806529"/>
    <w:rsid w:val="22073F85"/>
    <w:rsid w:val="221824B3"/>
    <w:rsid w:val="221E4223"/>
    <w:rsid w:val="226C2984"/>
    <w:rsid w:val="234666ED"/>
    <w:rsid w:val="238A0CA4"/>
    <w:rsid w:val="23B73EA6"/>
    <w:rsid w:val="2523046B"/>
    <w:rsid w:val="259568DA"/>
    <w:rsid w:val="259B0D31"/>
    <w:rsid w:val="25B7548D"/>
    <w:rsid w:val="25E940BF"/>
    <w:rsid w:val="261860C0"/>
    <w:rsid w:val="265A2890"/>
    <w:rsid w:val="26C37E1A"/>
    <w:rsid w:val="27562BE5"/>
    <w:rsid w:val="277D7551"/>
    <w:rsid w:val="27F23CAB"/>
    <w:rsid w:val="2837309A"/>
    <w:rsid w:val="28A0708B"/>
    <w:rsid w:val="28AB7CA3"/>
    <w:rsid w:val="28B5548F"/>
    <w:rsid w:val="28CA1ABB"/>
    <w:rsid w:val="291542EF"/>
    <w:rsid w:val="294A7544"/>
    <w:rsid w:val="297E550E"/>
    <w:rsid w:val="29C12BBD"/>
    <w:rsid w:val="29CA1D7B"/>
    <w:rsid w:val="2A2C727C"/>
    <w:rsid w:val="2A574DB0"/>
    <w:rsid w:val="2A8A62F4"/>
    <w:rsid w:val="2AA44440"/>
    <w:rsid w:val="2ACA25A8"/>
    <w:rsid w:val="2AFB7927"/>
    <w:rsid w:val="2B174102"/>
    <w:rsid w:val="2B5F4637"/>
    <w:rsid w:val="2B687EC1"/>
    <w:rsid w:val="2B834FB0"/>
    <w:rsid w:val="2B886305"/>
    <w:rsid w:val="2BA74C52"/>
    <w:rsid w:val="2BAF3104"/>
    <w:rsid w:val="2BDE3504"/>
    <w:rsid w:val="2BDE4021"/>
    <w:rsid w:val="2CAC31A9"/>
    <w:rsid w:val="2CBE1A1C"/>
    <w:rsid w:val="2CEC02F8"/>
    <w:rsid w:val="2D183FCB"/>
    <w:rsid w:val="2D1C1CF0"/>
    <w:rsid w:val="2D236FDE"/>
    <w:rsid w:val="2D423391"/>
    <w:rsid w:val="2D8753F9"/>
    <w:rsid w:val="2D8C5873"/>
    <w:rsid w:val="2DC35DE8"/>
    <w:rsid w:val="2DF2208A"/>
    <w:rsid w:val="2E4B44E1"/>
    <w:rsid w:val="2EE623D3"/>
    <w:rsid w:val="2F29584D"/>
    <w:rsid w:val="2F5454BC"/>
    <w:rsid w:val="2F5E31FD"/>
    <w:rsid w:val="2F605371"/>
    <w:rsid w:val="2F623E0B"/>
    <w:rsid w:val="2F670BC6"/>
    <w:rsid w:val="2F754A2A"/>
    <w:rsid w:val="2FB26A32"/>
    <w:rsid w:val="2FB53A8D"/>
    <w:rsid w:val="2FCE3B89"/>
    <w:rsid w:val="2FDF50C5"/>
    <w:rsid w:val="2FE17385"/>
    <w:rsid w:val="2FF91AFB"/>
    <w:rsid w:val="307A1605"/>
    <w:rsid w:val="31543CD7"/>
    <w:rsid w:val="31AF5298"/>
    <w:rsid w:val="31D30A68"/>
    <w:rsid w:val="321320E9"/>
    <w:rsid w:val="32146270"/>
    <w:rsid w:val="322B3856"/>
    <w:rsid w:val="32303C4E"/>
    <w:rsid w:val="329E1D42"/>
    <w:rsid w:val="32E31B28"/>
    <w:rsid w:val="3310073C"/>
    <w:rsid w:val="3355165E"/>
    <w:rsid w:val="336B70AA"/>
    <w:rsid w:val="33A24AE9"/>
    <w:rsid w:val="33B861D2"/>
    <w:rsid w:val="33F8760B"/>
    <w:rsid w:val="341561AE"/>
    <w:rsid w:val="34171975"/>
    <w:rsid w:val="34573AD5"/>
    <w:rsid w:val="34CA31F1"/>
    <w:rsid w:val="34DC3A05"/>
    <w:rsid w:val="34E20478"/>
    <w:rsid w:val="351211DA"/>
    <w:rsid w:val="35205AEE"/>
    <w:rsid w:val="3541141A"/>
    <w:rsid w:val="354257FB"/>
    <w:rsid w:val="35830CDB"/>
    <w:rsid w:val="358773FF"/>
    <w:rsid w:val="359E5462"/>
    <w:rsid w:val="35B76C75"/>
    <w:rsid w:val="35D93C7C"/>
    <w:rsid w:val="36304C32"/>
    <w:rsid w:val="3633781D"/>
    <w:rsid w:val="36703403"/>
    <w:rsid w:val="36C81818"/>
    <w:rsid w:val="36D83001"/>
    <w:rsid w:val="377101E8"/>
    <w:rsid w:val="377B45E0"/>
    <w:rsid w:val="378730AE"/>
    <w:rsid w:val="37B414EF"/>
    <w:rsid w:val="37CF3964"/>
    <w:rsid w:val="3817226C"/>
    <w:rsid w:val="381D0DE8"/>
    <w:rsid w:val="382436BB"/>
    <w:rsid w:val="385C3D2B"/>
    <w:rsid w:val="38DE45FC"/>
    <w:rsid w:val="38DF396E"/>
    <w:rsid w:val="39216DF2"/>
    <w:rsid w:val="3927794B"/>
    <w:rsid w:val="39664F44"/>
    <w:rsid w:val="398F732E"/>
    <w:rsid w:val="39A73988"/>
    <w:rsid w:val="3A7D2701"/>
    <w:rsid w:val="3A872B9C"/>
    <w:rsid w:val="3ACE3106"/>
    <w:rsid w:val="3B15134F"/>
    <w:rsid w:val="3B3115A5"/>
    <w:rsid w:val="3B487E3D"/>
    <w:rsid w:val="3B6064A9"/>
    <w:rsid w:val="3BAF72F2"/>
    <w:rsid w:val="3BC27434"/>
    <w:rsid w:val="3C4E67AC"/>
    <w:rsid w:val="3C7650C5"/>
    <w:rsid w:val="3CC01539"/>
    <w:rsid w:val="3CDC6CE3"/>
    <w:rsid w:val="3D140B37"/>
    <w:rsid w:val="3D546DEF"/>
    <w:rsid w:val="3D763FE9"/>
    <w:rsid w:val="3DCC4CEF"/>
    <w:rsid w:val="3DF20DB8"/>
    <w:rsid w:val="3E152F23"/>
    <w:rsid w:val="3EA8442C"/>
    <w:rsid w:val="3EBD4E0D"/>
    <w:rsid w:val="3F3A15BF"/>
    <w:rsid w:val="3F75536B"/>
    <w:rsid w:val="3FCC21C4"/>
    <w:rsid w:val="40434550"/>
    <w:rsid w:val="40980764"/>
    <w:rsid w:val="40B76EC6"/>
    <w:rsid w:val="410E2A81"/>
    <w:rsid w:val="411C2B70"/>
    <w:rsid w:val="41406581"/>
    <w:rsid w:val="42602032"/>
    <w:rsid w:val="42E92FFE"/>
    <w:rsid w:val="431F6C2A"/>
    <w:rsid w:val="433637E9"/>
    <w:rsid w:val="43614AF8"/>
    <w:rsid w:val="43961C6C"/>
    <w:rsid w:val="43D01391"/>
    <w:rsid w:val="44260E7B"/>
    <w:rsid w:val="44643A90"/>
    <w:rsid w:val="446A2EC0"/>
    <w:rsid w:val="44CD6275"/>
    <w:rsid w:val="44E1454F"/>
    <w:rsid w:val="44FB5E54"/>
    <w:rsid w:val="44FE1BBE"/>
    <w:rsid w:val="45DC4F26"/>
    <w:rsid w:val="462B0342"/>
    <w:rsid w:val="465A75D2"/>
    <w:rsid w:val="46D56FB6"/>
    <w:rsid w:val="47024F5F"/>
    <w:rsid w:val="47502040"/>
    <w:rsid w:val="475D4E52"/>
    <w:rsid w:val="47A900A9"/>
    <w:rsid w:val="47AB4DBB"/>
    <w:rsid w:val="47C36EBB"/>
    <w:rsid w:val="489114DD"/>
    <w:rsid w:val="489741D6"/>
    <w:rsid w:val="48B63DAF"/>
    <w:rsid w:val="48DD7B03"/>
    <w:rsid w:val="496700A6"/>
    <w:rsid w:val="49746E0A"/>
    <w:rsid w:val="49A05D19"/>
    <w:rsid w:val="49E37BCC"/>
    <w:rsid w:val="4A2A3FE0"/>
    <w:rsid w:val="4AA67BEC"/>
    <w:rsid w:val="4B0A4668"/>
    <w:rsid w:val="4B3A3D30"/>
    <w:rsid w:val="4BBB381C"/>
    <w:rsid w:val="4C4412A0"/>
    <w:rsid w:val="4C82056E"/>
    <w:rsid w:val="4CE35940"/>
    <w:rsid w:val="4CEF6B76"/>
    <w:rsid w:val="4D0352F5"/>
    <w:rsid w:val="4D080458"/>
    <w:rsid w:val="4D18104A"/>
    <w:rsid w:val="4D822381"/>
    <w:rsid w:val="4D9C32DF"/>
    <w:rsid w:val="4DB17A7F"/>
    <w:rsid w:val="4DB558D2"/>
    <w:rsid w:val="4DBC3CE3"/>
    <w:rsid w:val="4DE07913"/>
    <w:rsid w:val="4E2967F9"/>
    <w:rsid w:val="4E705BFC"/>
    <w:rsid w:val="4E7A7780"/>
    <w:rsid w:val="4EA34611"/>
    <w:rsid w:val="4ED36702"/>
    <w:rsid w:val="4F1268DD"/>
    <w:rsid w:val="4F1829C1"/>
    <w:rsid w:val="4F3F11AD"/>
    <w:rsid w:val="4FDD4717"/>
    <w:rsid w:val="4FEF07CA"/>
    <w:rsid w:val="4FF033BD"/>
    <w:rsid w:val="50402BB7"/>
    <w:rsid w:val="507940A5"/>
    <w:rsid w:val="50E71A4B"/>
    <w:rsid w:val="50E92FD0"/>
    <w:rsid w:val="51795677"/>
    <w:rsid w:val="521F265F"/>
    <w:rsid w:val="522917EA"/>
    <w:rsid w:val="523B4E6C"/>
    <w:rsid w:val="524F73DF"/>
    <w:rsid w:val="5253627A"/>
    <w:rsid w:val="52541547"/>
    <w:rsid w:val="526928EC"/>
    <w:rsid w:val="52745151"/>
    <w:rsid w:val="52774F98"/>
    <w:rsid w:val="52E32774"/>
    <w:rsid w:val="52ED6164"/>
    <w:rsid w:val="53DB6C2E"/>
    <w:rsid w:val="53F75BCA"/>
    <w:rsid w:val="53FE1851"/>
    <w:rsid w:val="546D1CBA"/>
    <w:rsid w:val="5480427E"/>
    <w:rsid w:val="54872EAC"/>
    <w:rsid w:val="54A75C2E"/>
    <w:rsid w:val="54C61D66"/>
    <w:rsid w:val="54DA5C30"/>
    <w:rsid w:val="551A789E"/>
    <w:rsid w:val="55373596"/>
    <w:rsid w:val="555E5970"/>
    <w:rsid w:val="556B768D"/>
    <w:rsid w:val="55A818EF"/>
    <w:rsid w:val="55B140AF"/>
    <w:rsid w:val="55BA1691"/>
    <w:rsid w:val="563C14CF"/>
    <w:rsid w:val="565940A7"/>
    <w:rsid w:val="56A12BC2"/>
    <w:rsid w:val="56B83B36"/>
    <w:rsid w:val="56BE7077"/>
    <w:rsid w:val="56F92E83"/>
    <w:rsid w:val="572C0A18"/>
    <w:rsid w:val="58300084"/>
    <w:rsid w:val="584761DD"/>
    <w:rsid w:val="587C03E0"/>
    <w:rsid w:val="589A17B2"/>
    <w:rsid w:val="59675221"/>
    <w:rsid w:val="59AA4182"/>
    <w:rsid w:val="59C1228B"/>
    <w:rsid w:val="59DC4626"/>
    <w:rsid w:val="5A6D15B3"/>
    <w:rsid w:val="5A7378C1"/>
    <w:rsid w:val="5B786897"/>
    <w:rsid w:val="5C001B87"/>
    <w:rsid w:val="5C2C3BAB"/>
    <w:rsid w:val="5C6452D2"/>
    <w:rsid w:val="5C661E31"/>
    <w:rsid w:val="5D803173"/>
    <w:rsid w:val="5D903831"/>
    <w:rsid w:val="5D920F63"/>
    <w:rsid w:val="5DB239AD"/>
    <w:rsid w:val="5E115985"/>
    <w:rsid w:val="5E360FFC"/>
    <w:rsid w:val="5E455E47"/>
    <w:rsid w:val="5EA21BC5"/>
    <w:rsid w:val="5EEF0CC3"/>
    <w:rsid w:val="5F0044CF"/>
    <w:rsid w:val="5F5F31B6"/>
    <w:rsid w:val="5F841C80"/>
    <w:rsid w:val="5FFA064B"/>
    <w:rsid w:val="60460C3F"/>
    <w:rsid w:val="60521A76"/>
    <w:rsid w:val="60583283"/>
    <w:rsid w:val="6063674B"/>
    <w:rsid w:val="607F6C53"/>
    <w:rsid w:val="60A266B8"/>
    <w:rsid w:val="6106069F"/>
    <w:rsid w:val="62310BC3"/>
    <w:rsid w:val="625C6AE4"/>
    <w:rsid w:val="6263549D"/>
    <w:rsid w:val="627C42E2"/>
    <w:rsid w:val="62833398"/>
    <w:rsid w:val="629444C4"/>
    <w:rsid w:val="62FE3D77"/>
    <w:rsid w:val="6315566D"/>
    <w:rsid w:val="631A12EB"/>
    <w:rsid w:val="638F5D96"/>
    <w:rsid w:val="63A76D68"/>
    <w:rsid w:val="63D465C6"/>
    <w:rsid w:val="64227B97"/>
    <w:rsid w:val="645D06C4"/>
    <w:rsid w:val="64764762"/>
    <w:rsid w:val="64D33683"/>
    <w:rsid w:val="64DD6F9C"/>
    <w:rsid w:val="6538737C"/>
    <w:rsid w:val="65524E1C"/>
    <w:rsid w:val="662F5543"/>
    <w:rsid w:val="66495EA6"/>
    <w:rsid w:val="668B5659"/>
    <w:rsid w:val="66F82F0A"/>
    <w:rsid w:val="67243BAC"/>
    <w:rsid w:val="673D4412"/>
    <w:rsid w:val="67851B7C"/>
    <w:rsid w:val="67AF1A42"/>
    <w:rsid w:val="67D00B40"/>
    <w:rsid w:val="67F34E79"/>
    <w:rsid w:val="6847197D"/>
    <w:rsid w:val="68484741"/>
    <w:rsid w:val="68B63F9E"/>
    <w:rsid w:val="68B854E2"/>
    <w:rsid w:val="69920235"/>
    <w:rsid w:val="69A23A34"/>
    <w:rsid w:val="69E118AA"/>
    <w:rsid w:val="69E85FD6"/>
    <w:rsid w:val="69F63CCF"/>
    <w:rsid w:val="6A3D48C5"/>
    <w:rsid w:val="6AA60002"/>
    <w:rsid w:val="6AED364C"/>
    <w:rsid w:val="6AFD4C6F"/>
    <w:rsid w:val="6B2A73DB"/>
    <w:rsid w:val="6B4B1B4A"/>
    <w:rsid w:val="6B745D65"/>
    <w:rsid w:val="6B796349"/>
    <w:rsid w:val="6BD02B6B"/>
    <w:rsid w:val="6C212010"/>
    <w:rsid w:val="6C9804DA"/>
    <w:rsid w:val="6D1C17B6"/>
    <w:rsid w:val="6D221CC0"/>
    <w:rsid w:val="6D2A646C"/>
    <w:rsid w:val="6D3027DF"/>
    <w:rsid w:val="6D325918"/>
    <w:rsid w:val="6D742982"/>
    <w:rsid w:val="6DE16EBD"/>
    <w:rsid w:val="6E4C3C57"/>
    <w:rsid w:val="6E8C3606"/>
    <w:rsid w:val="6E8E47DB"/>
    <w:rsid w:val="6ECA1706"/>
    <w:rsid w:val="6EF945FE"/>
    <w:rsid w:val="6F5E1B4E"/>
    <w:rsid w:val="6F7021EC"/>
    <w:rsid w:val="6F7C731F"/>
    <w:rsid w:val="6FCD36D5"/>
    <w:rsid w:val="6FD77A28"/>
    <w:rsid w:val="71B14214"/>
    <w:rsid w:val="72D550F7"/>
    <w:rsid w:val="735D79DF"/>
    <w:rsid w:val="73664932"/>
    <w:rsid w:val="73B622FF"/>
    <w:rsid w:val="73B76F3D"/>
    <w:rsid w:val="73FF3AC0"/>
    <w:rsid w:val="741A61BB"/>
    <w:rsid w:val="74866F88"/>
    <w:rsid w:val="75697F78"/>
    <w:rsid w:val="758602D5"/>
    <w:rsid w:val="759F2BEE"/>
    <w:rsid w:val="764D6C20"/>
    <w:rsid w:val="76635135"/>
    <w:rsid w:val="76690821"/>
    <w:rsid w:val="769F3AEC"/>
    <w:rsid w:val="76D868B6"/>
    <w:rsid w:val="77601148"/>
    <w:rsid w:val="77CB7C65"/>
    <w:rsid w:val="77CE5838"/>
    <w:rsid w:val="77D73C49"/>
    <w:rsid w:val="77DE47E9"/>
    <w:rsid w:val="780207F7"/>
    <w:rsid w:val="7835113D"/>
    <w:rsid w:val="78602A9D"/>
    <w:rsid w:val="78A27AD7"/>
    <w:rsid w:val="78BB57CE"/>
    <w:rsid w:val="79163E6F"/>
    <w:rsid w:val="79202C35"/>
    <w:rsid w:val="7925087C"/>
    <w:rsid w:val="792E3319"/>
    <w:rsid w:val="796D3309"/>
    <w:rsid w:val="79984D47"/>
    <w:rsid w:val="79B94CE2"/>
    <w:rsid w:val="79C009EE"/>
    <w:rsid w:val="79E22E5D"/>
    <w:rsid w:val="7A5042A4"/>
    <w:rsid w:val="7AAC56C1"/>
    <w:rsid w:val="7AC33F24"/>
    <w:rsid w:val="7B223622"/>
    <w:rsid w:val="7B5403D4"/>
    <w:rsid w:val="7B6F44EE"/>
    <w:rsid w:val="7B996D04"/>
    <w:rsid w:val="7BBD4F47"/>
    <w:rsid w:val="7BFD0538"/>
    <w:rsid w:val="7CBB51FD"/>
    <w:rsid w:val="7CDF46C7"/>
    <w:rsid w:val="7D2F53C6"/>
    <w:rsid w:val="7D373B0D"/>
    <w:rsid w:val="7E2B00DC"/>
    <w:rsid w:val="7E7C0C26"/>
    <w:rsid w:val="7E9558DD"/>
    <w:rsid w:val="7EBA2414"/>
    <w:rsid w:val="7EED39DB"/>
    <w:rsid w:val="7EFF64F5"/>
    <w:rsid w:val="7F9B2EF4"/>
    <w:rsid w:val="7F9B3721"/>
    <w:rsid w:val="7FD93810"/>
    <w:rsid w:val="7FE01733"/>
    <w:rsid w:val="7FF411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24"/>
    <w:semiHidden/>
    <w:unhideWhenUsed/>
    <w:qFormat/>
    <w:uiPriority w:val="99"/>
    <w:rPr>
      <w:rFonts w:ascii="宋体" w:eastAsia="宋体"/>
      <w:sz w:val="18"/>
      <w:szCs w:val="18"/>
    </w:rPr>
  </w:style>
  <w:style w:type="paragraph" w:styleId="4">
    <w:name w:val="toc 3"/>
    <w:basedOn w:val="1"/>
    <w:next w:val="1"/>
    <w:semiHidden/>
    <w:unhideWhenUsed/>
    <w:qFormat/>
    <w:uiPriority w:val="39"/>
    <w:pPr>
      <w:widowControl/>
      <w:spacing w:after="100" w:line="276" w:lineRule="auto"/>
      <w:ind w:left="440"/>
      <w:jc w:val="left"/>
    </w:pPr>
    <w:rPr>
      <w:kern w:val="0"/>
      <w:sz w:val="22"/>
    </w:rPr>
  </w:style>
  <w:style w:type="paragraph" w:styleId="5">
    <w:name w:val="Balloon Text"/>
    <w:basedOn w:val="1"/>
    <w:link w:val="20"/>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tabs>
        <w:tab w:val="right" w:leader="dot" w:pos="9912"/>
      </w:tabs>
      <w:spacing w:line="276" w:lineRule="auto"/>
      <w:jc w:val="left"/>
    </w:pPr>
    <w:rPr>
      <w:kern w:val="0"/>
      <w:sz w:val="22"/>
    </w:rPr>
  </w:style>
  <w:style w:type="paragraph" w:styleId="9">
    <w:name w:val="toc 2"/>
    <w:basedOn w:val="1"/>
    <w:next w:val="1"/>
    <w:semiHidden/>
    <w:unhideWhenUsed/>
    <w:qFormat/>
    <w:uiPriority w:val="39"/>
    <w:pPr>
      <w:widowControl/>
      <w:spacing w:after="100" w:line="276" w:lineRule="auto"/>
      <w:ind w:left="220"/>
      <w:jc w:val="left"/>
    </w:pPr>
    <w:rPr>
      <w:kern w:val="0"/>
      <w:sz w:val="22"/>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000FF" w:themeColor="hyperlink"/>
      <w:u w:val="single"/>
    </w:rPr>
  </w:style>
  <w:style w:type="character" w:customStyle="1" w:styleId="17">
    <w:name w:val="页眉 Char"/>
    <w:basedOn w:val="13"/>
    <w:link w:val="7"/>
    <w:qFormat/>
    <w:uiPriority w:val="99"/>
    <w:rPr>
      <w:sz w:val="18"/>
      <w:szCs w:val="18"/>
    </w:rPr>
  </w:style>
  <w:style w:type="character" w:customStyle="1" w:styleId="18">
    <w:name w:val="页脚 Char"/>
    <w:basedOn w:val="13"/>
    <w:link w:val="6"/>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批注框文本 Char"/>
    <w:basedOn w:val="13"/>
    <w:link w:val="5"/>
    <w:semiHidden/>
    <w:qFormat/>
    <w:uiPriority w:val="99"/>
    <w:rPr>
      <w:sz w:val="18"/>
      <w:szCs w:val="18"/>
    </w:rPr>
  </w:style>
  <w:style w:type="character" w:customStyle="1" w:styleId="21">
    <w:name w:val="标题 1 Char"/>
    <w:basedOn w:val="13"/>
    <w:link w:val="2"/>
    <w:qFormat/>
    <w:uiPriority w:val="9"/>
    <w:rPr>
      <w:b/>
      <w:bCs/>
      <w:kern w:val="44"/>
      <w:sz w:val="44"/>
      <w:szCs w:val="44"/>
    </w:rPr>
  </w:style>
  <w:style w:type="paragraph" w:customStyle="1" w:styleId="22">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3">
    <w:name w:val="apple-converted-space"/>
    <w:basedOn w:val="13"/>
    <w:qFormat/>
    <w:uiPriority w:val="0"/>
  </w:style>
  <w:style w:type="character" w:customStyle="1" w:styleId="24">
    <w:name w:val="文档结构图 Char"/>
    <w:basedOn w:val="13"/>
    <w:link w:val="3"/>
    <w:semiHidden/>
    <w:qFormat/>
    <w:uiPriority w:val="99"/>
    <w:rPr>
      <w:rFonts w:ascii="宋体" w:eastAsia="宋体"/>
      <w:kern w:val="2"/>
      <w:sz w:val="18"/>
      <w:szCs w:val="18"/>
    </w:rPr>
  </w:style>
  <w:style w:type="character" w:customStyle="1" w:styleId="25">
    <w:name w:val="fontstyle01"/>
    <w:basedOn w:val="13"/>
    <w:qFormat/>
    <w:uiPriority w:val="0"/>
    <w:rPr>
      <w:rFonts w:ascii="宋体" w:hAnsi="宋体" w:eastAsia="宋体" w:cs="宋体"/>
      <w:color w:val="000000"/>
      <w:sz w:val="24"/>
      <w:szCs w:val="24"/>
    </w:rPr>
  </w:style>
  <w:style w:type="character" w:customStyle="1" w:styleId="26">
    <w:name w:val="font21"/>
    <w:basedOn w:val="13"/>
    <w:qFormat/>
    <w:uiPriority w:val="0"/>
    <w:rPr>
      <w:rFonts w:hint="default" w:ascii="Dialog . plain" w:hAnsi="Dialog . plain" w:eastAsia="Dialog . plain" w:cs="Dialog . plain"/>
      <w:color w:val="000000"/>
      <w:sz w:val="18"/>
      <w:szCs w:val="18"/>
      <w:u w:val="none"/>
    </w:rPr>
  </w:style>
  <w:style w:type="character" w:customStyle="1" w:styleId="27">
    <w:name w:val="font11"/>
    <w:basedOn w:val="13"/>
    <w:qFormat/>
    <w:uiPriority w:val="0"/>
    <w:rPr>
      <w:rFonts w:hint="eastAsia" w:ascii="宋体" w:hAnsi="宋体" w:eastAsia="宋体" w:cs="宋体"/>
      <w:color w:val="000000"/>
      <w:sz w:val="18"/>
      <w:szCs w:val="18"/>
      <w:u w:val="none"/>
    </w:rPr>
  </w:style>
  <w:style w:type="character" w:customStyle="1" w:styleId="28">
    <w:name w:val="font31"/>
    <w:basedOn w:val="13"/>
    <w:qFormat/>
    <w:uiPriority w:val="0"/>
    <w:rPr>
      <w:rFonts w:hint="default" w:ascii="Times New Roman" w:hAnsi="Times New Roman" w:cs="Times New Roman"/>
      <w:color w:val="000000"/>
      <w:sz w:val="18"/>
      <w:szCs w:val="18"/>
      <w:u w:val="none"/>
    </w:rPr>
  </w:style>
  <w:style w:type="character" w:customStyle="1" w:styleId="29">
    <w:name w:val="font41"/>
    <w:basedOn w:val="13"/>
    <w:qFormat/>
    <w:uiPriority w:val="0"/>
    <w:rPr>
      <w:rFonts w:hint="eastAsia" w:ascii="宋体" w:hAnsi="宋体" w:eastAsia="宋体" w:cs="宋体"/>
      <w:color w:val="000000"/>
      <w:sz w:val="18"/>
      <w:szCs w:val="18"/>
      <w:u w:val="none"/>
    </w:rPr>
  </w:style>
  <w:style w:type="character" w:customStyle="1" w:styleId="30">
    <w:name w:val="font01"/>
    <w:basedOn w:val="13"/>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emf"/><Relationship Id="rId4" Type="http://schemas.openxmlformats.org/officeDocument/2006/relationships/footer" Target="footer1.xml"/><Relationship Id="rId39" Type="http://schemas.openxmlformats.org/officeDocument/2006/relationships/oleObject" Target="embeddings/oleObject1.bin"/><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GIF"/><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7069BF-6671-4B4F-8DCC-536BF3E4A22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2445</Words>
  <Characters>13939</Characters>
  <Lines>116</Lines>
  <Paragraphs>32</Paragraphs>
  <TotalTime>3</TotalTime>
  <ScaleCrop>false</ScaleCrop>
  <LinksUpToDate>false</LinksUpToDate>
  <CharactersWithSpaces>16352</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2019-06-13T02:13:00Z</dcterms:created>
  <dc:creator>good4</dc:creator>
  <cp:lastModifiedBy>胡志文</cp:lastModifiedBy>
  <dcterms:modified xsi:type="dcterms:W3CDTF">2022-05-31T13:51:21Z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5BA7A25FB41D47A08830AFFC2BEB76E3</vt:lpwstr>
  </property>
</Properties>
</file>