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592" w:rsidRPr="002C79D5" w:rsidRDefault="004A1592" w:rsidP="004A159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C79D5">
        <w:rPr>
          <w:rFonts w:hint="eastAsia"/>
          <w:b/>
          <w:bCs/>
          <w:sz w:val="32"/>
          <w:szCs w:val="32"/>
        </w:rPr>
        <w:t>关于</w:t>
      </w:r>
      <w:r w:rsidRPr="002C79D5">
        <w:rPr>
          <w:b/>
          <w:bCs/>
          <w:sz w:val="32"/>
          <w:szCs w:val="32"/>
        </w:rPr>
        <w:t>EAS</w:t>
      </w:r>
      <w:r w:rsidRPr="002C79D5">
        <w:rPr>
          <w:rFonts w:hint="eastAsia"/>
          <w:b/>
          <w:bCs/>
          <w:sz w:val="32"/>
          <w:szCs w:val="32"/>
        </w:rPr>
        <w:t>押金科目余额贷方与收费云押金未退金额核查的方法</w:t>
      </w:r>
    </w:p>
    <w:p w:rsidR="00E22F09" w:rsidRPr="002C79D5" w:rsidRDefault="004A1592" w:rsidP="00E22F09">
      <w:pPr>
        <w:ind w:firstLineChars="202" w:firstLine="566"/>
        <w:rPr>
          <w:sz w:val="28"/>
          <w:szCs w:val="28"/>
        </w:rPr>
      </w:pPr>
      <w:r w:rsidRPr="002C79D5">
        <w:rPr>
          <w:rFonts w:hint="eastAsia"/>
          <w:sz w:val="28"/>
          <w:szCs w:val="28"/>
        </w:rPr>
        <w:t>根据集团审计监察部《长城物业2019年内部审计报告》中收</w:t>
      </w:r>
      <w:r w:rsidRPr="002C79D5">
        <w:rPr>
          <w:sz w:val="28"/>
          <w:szCs w:val="28"/>
        </w:rPr>
        <w:t>EAS</w:t>
      </w:r>
      <w:r w:rsidRPr="002C79D5">
        <w:rPr>
          <w:rFonts w:hint="eastAsia"/>
          <w:sz w:val="28"/>
          <w:szCs w:val="28"/>
        </w:rPr>
        <w:t>押金科目余额贷方与收费云押金未退金额不一致的问题，现对</w:t>
      </w:r>
      <w:r w:rsidRPr="002C79D5">
        <w:rPr>
          <w:sz w:val="28"/>
          <w:szCs w:val="28"/>
        </w:rPr>
        <w:t>EAS</w:t>
      </w:r>
      <w:r w:rsidRPr="002C79D5">
        <w:rPr>
          <w:rFonts w:hint="eastAsia"/>
          <w:sz w:val="28"/>
          <w:szCs w:val="28"/>
        </w:rPr>
        <w:t>押金科目余额贷方与收费云押金未退金额进行核查整改</w:t>
      </w:r>
      <w:r w:rsidR="00ED79F8" w:rsidRPr="002C79D5">
        <w:rPr>
          <w:rFonts w:hint="eastAsia"/>
          <w:sz w:val="28"/>
          <w:szCs w:val="28"/>
        </w:rPr>
        <w:t>：</w:t>
      </w:r>
    </w:p>
    <w:p w:rsidR="00ED79F8" w:rsidRDefault="00E22F09">
      <w:pPr>
        <w:rPr>
          <w:sz w:val="28"/>
          <w:szCs w:val="28"/>
        </w:rPr>
      </w:pPr>
      <w:r w:rsidRPr="00E22F09">
        <w:rPr>
          <w:noProof/>
          <w:sz w:val="28"/>
          <w:szCs w:val="28"/>
        </w:rPr>
        <w:drawing>
          <wp:inline distT="0" distB="0" distL="0" distR="0" wp14:anchorId="4993A118" wp14:editId="686411D9">
            <wp:extent cx="5270500" cy="16148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EC9" w:rsidRPr="000C3E82" w:rsidRDefault="002C79D5" w:rsidP="000C3E82">
      <w:pPr>
        <w:pStyle w:val="1"/>
        <w:numPr>
          <w:ilvl w:val="0"/>
          <w:numId w:val="1"/>
        </w:numPr>
        <w:rPr>
          <w:szCs w:val="28"/>
        </w:rPr>
      </w:pPr>
      <w:r>
        <w:rPr>
          <w:rFonts w:hint="eastAsia"/>
          <w:szCs w:val="28"/>
        </w:rPr>
        <w:t>第一步</w:t>
      </w:r>
      <w:r w:rsidR="00C95CF5">
        <w:rPr>
          <w:rFonts w:hint="eastAsia"/>
          <w:szCs w:val="28"/>
        </w:rPr>
        <w:t>：</w:t>
      </w:r>
      <w:r w:rsidR="000C3E82">
        <w:rPr>
          <w:rFonts w:hint="eastAsia"/>
          <w:szCs w:val="28"/>
        </w:rPr>
        <w:t>数据</w:t>
      </w:r>
      <w:r w:rsidR="00C208BD">
        <w:rPr>
          <w:rFonts w:hint="eastAsia"/>
          <w:szCs w:val="28"/>
        </w:rPr>
        <w:t>准备</w:t>
      </w:r>
    </w:p>
    <w:p w:rsidR="00E22F09" w:rsidRPr="00E22F09" w:rsidRDefault="00E22F09" w:rsidP="00E22F09">
      <w:r>
        <w:rPr>
          <w:rFonts w:hint="eastAsia"/>
        </w:rPr>
        <w:t>完成时间：</w:t>
      </w:r>
      <w:r>
        <w:t>2020年2月14日</w:t>
      </w:r>
    </w:p>
    <w:p w:rsidR="00C95CF5" w:rsidRPr="00C95CF5" w:rsidRDefault="00C95CF5" w:rsidP="00C95CF5">
      <w:r>
        <w:rPr>
          <w:rFonts w:hint="eastAsia"/>
        </w:rPr>
        <w:t>时间：在大区收费经理发布第一次《</w:t>
      </w:r>
      <w:r w:rsidRPr="00C95CF5">
        <w:rPr>
          <w:rFonts w:hint="eastAsia"/>
        </w:rPr>
        <w:t>押金余额核对模板</w:t>
      </w:r>
      <w:r>
        <w:rPr>
          <w:rFonts w:hint="eastAsia"/>
        </w:rPr>
        <w:t>》后一周内完成。</w:t>
      </w:r>
    </w:p>
    <w:p w:rsidR="002C79D5" w:rsidRDefault="002C79D5" w:rsidP="002C79D5">
      <w:pPr>
        <w:pStyle w:val="2"/>
        <w:numPr>
          <w:ilvl w:val="1"/>
          <w:numId w:val="1"/>
        </w:numPr>
        <w:ind w:left="0" w:rightChars="-24" w:right="-50" w:firstLine="0"/>
        <w:rPr>
          <w:sz w:val="28"/>
          <w:szCs w:val="28"/>
        </w:rPr>
      </w:pPr>
      <w:r>
        <w:rPr>
          <w:rFonts w:hint="eastAsia"/>
          <w:szCs w:val="28"/>
        </w:rPr>
        <w:t>以收费云核对</w:t>
      </w:r>
      <w:r>
        <w:rPr>
          <w:rFonts w:hint="eastAsia"/>
          <w:szCs w:val="28"/>
        </w:rPr>
        <w:t>EAS</w:t>
      </w:r>
      <w:r>
        <w:rPr>
          <w:rFonts w:hint="eastAsia"/>
          <w:szCs w:val="28"/>
        </w:rPr>
        <w:t>账面</w:t>
      </w:r>
    </w:p>
    <w:p w:rsidR="002C79D5" w:rsidRDefault="00E35F59" w:rsidP="00FF7EC9">
      <w:pPr>
        <w:pStyle w:val="3"/>
        <w:numPr>
          <w:ilvl w:val="2"/>
          <w:numId w:val="1"/>
        </w:numPr>
        <w:spacing w:before="156" w:after="156"/>
        <w:ind w:left="0" w:firstLine="0"/>
      </w:pPr>
      <w:r>
        <w:rPr>
          <w:rFonts w:hint="eastAsia"/>
        </w:rPr>
        <w:t>数据查询</w:t>
      </w:r>
    </w:p>
    <w:p w:rsidR="00FF7EC9" w:rsidRPr="00E35F59" w:rsidRDefault="002C79D5" w:rsidP="00E35F59">
      <w:pPr>
        <w:pStyle w:val="a3"/>
        <w:numPr>
          <w:ilvl w:val="0"/>
          <w:numId w:val="2"/>
        </w:numPr>
        <w:ind w:firstLineChars="0"/>
        <w:rPr>
          <w:color w:val="000000" w:themeColor="text1"/>
        </w:rPr>
      </w:pPr>
      <w:r>
        <w:rPr>
          <w:rFonts w:hint="eastAsia"/>
        </w:rPr>
        <w:t>大区：</w:t>
      </w:r>
      <w:r w:rsidR="00FF7EC9">
        <w:rPr>
          <w:rFonts w:hint="eastAsia"/>
        </w:rPr>
        <w:t>收费系统经理</w:t>
      </w:r>
      <w:r>
        <w:rPr>
          <w:rFonts w:hint="eastAsia"/>
        </w:rPr>
        <w:t>在收费云系统作用“上帝模式”用“</w:t>
      </w:r>
      <w:r w:rsidRPr="00E35F59">
        <w:rPr>
          <w:rFonts w:hint="eastAsia"/>
          <w:color w:val="000000" w:themeColor="text1"/>
        </w:rPr>
        <w:t>获</w:t>
      </w:r>
      <w:r w:rsidRPr="00E35F59">
        <w:rPr>
          <w:color w:val="000000" w:themeColor="text1"/>
        </w:rPr>
        <w:t>取押金收费情况</w:t>
      </w:r>
      <w:r w:rsidRPr="00E35F59">
        <w:rPr>
          <w:rFonts w:hint="eastAsia"/>
          <w:color w:val="000000" w:themeColor="text1"/>
        </w:rPr>
        <w:t>”代码跑整个大区的数据；</w:t>
      </w:r>
    </w:p>
    <w:p w:rsidR="00E35F59" w:rsidRDefault="00E35F59" w:rsidP="00E35F59">
      <w:pPr>
        <w:pStyle w:val="a3"/>
        <w:numPr>
          <w:ilvl w:val="0"/>
          <w:numId w:val="2"/>
        </w:numPr>
        <w:ind w:firstLineChars="0"/>
      </w:pPr>
      <w:r w:rsidRPr="00E35F59">
        <w:rPr>
          <w:rFonts w:hint="eastAsia"/>
        </w:rPr>
        <w:t>EAS</w:t>
      </w:r>
      <w:r>
        <w:rPr>
          <w:rFonts w:hint="eastAsia"/>
        </w:rPr>
        <w:t>：查押金科目余额表</w:t>
      </w:r>
    </w:p>
    <w:p w:rsidR="00E35F59" w:rsidRPr="00E35F59" w:rsidRDefault="00E35F59" w:rsidP="00E35F59">
      <w:pPr>
        <w:pStyle w:val="a3"/>
        <w:ind w:left="420" w:firstLineChars="0" w:firstLine="0"/>
      </w:pPr>
    </w:p>
    <w:p w:rsidR="00E35F59" w:rsidRDefault="00E35F59" w:rsidP="00FF7EC9">
      <w:r w:rsidRPr="00C95CF5">
        <w:rPr>
          <w:noProof/>
        </w:rPr>
        <w:lastRenderedPageBreak/>
        <w:drawing>
          <wp:inline distT="0" distB="0" distL="0" distR="0" wp14:anchorId="1597A2FE" wp14:editId="7554A6D0">
            <wp:extent cx="5270500" cy="27635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F59" w:rsidRDefault="00E35F59" w:rsidP="00FF7EC9"/>
    <w:p w:rsidR="00E35F59" w:rsidRPr="00FF7EC9" w:rsidRDefault="00E35F59" w:rsidP="00FF7EC9">
      <w:r>
        <w:rPr>
          <w:rFonts w:hint="eastAsia"/>
        </w:rPr>
        <w:t>以上两步由大区收费经理做好押金余额核对模板，在每周一发集团、大区CEO、城区总</w:t>
      </w:r>
    </w:p>
    <w:p w:rsidR="00E35F59" w:rsidRDefault="00E35F59" w:rsidP="00FF7EC9"/>
    <w:p w:rsidR="00C95CF5" w:rsidRDefault="002C79D5" w:rsidP="00E35F5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项目：</w:t>
      </w:r>
      <w:r w:rsidR="00FF7EC9">
        <w:rPr>
          <w:rFonts w:hint="eastAsia"/>
        </w:rPr>
        <w:t>在收费云收费管理</w:t>
      </w:r>
      <w:r w:rsidR="00FF7EC9">
        <w:t>-</w:t>
      </w:r>
      <w:r w:rsidR="00FF7EC9">
        <w:rPr>
          <w:rFonts w:hint="eastAsia"/>
        </w:rPr>
        <w:t>押金管理</w:t>
      </w:r>
      <w:r w:rsidR="00FF7EC9">
        <w:t>-</w:t>
      </w:r>
      <w:r w:rsidR="00FF7EC9">
        <w:rPr>
          <w:rFonts w:hint="eastAsia"/>
        </w:rPr>
        <w:t>查询到的未退押金明细</w:t>
      </w:r>
      <w:r>
        <w:rPr>
          <w:rFonts w:hint="eastAsia"/>
        </w:rPr>
        <w:t>；</w:t>
      </w:r>
    </w:p>
    <w:p w:rsidR="00C95CF5" w:rsidRDefault="00C95CF5" w:rsidP="00C95CF5">
      <w:pPr>
        <w:pStyle w:val="1"/>
        <w:numPr>
          <w:ilvl w:val="0"/>
          <w:numId w:val="1"/>
        </w:numPr>
        <w:rPr>
          <w:szCs w:val="28"/>
        </w:rPr>
      </w:pPr>
      <w:r w:rsidRPr="00C95CF5">
        <w:rPr>
          <w:rFonts w:hint="eastAsia"/>
          <w:szCs w:val="28"/>
        </w:rPr>
        <w:t>第二步</w:t>
      </w:r>
      <w:r>
        <w:rPr>
          <w:rFonts w:hint="eastAsia"/>
          <w:szCs w:val="28"/>
        </w:rPr>
        <w:t>：</w:t>
      </w:r>
      <w:r w:rsidR="00E22F09">
        <w:rPr>
          <w:rFonts w:hint="eastAsia"/>
          <w:szCs w:val="28"/>
        </w:rPr>
        <w:t>项目核对</w:t>
      </w:r>
    </w:p>
    <w:p w:rsidR="00C95CF5" w:rsidRPr="00C95CF5" w:rsidRDefault="000C3E82" w:rsidP="00A073DB">
      <w:pPr>
        <w:pStyle w:val="a3"/>
        <w:ind w:firstLineChars="0" w:firstLine="0"/>
      </w:pPr>
      <w:r>
        <w:rPr>
          <w:rFonts w:hint="eastAsia"/>
          <w:color w:val="000000" w:themeColor="text1"/>
        </w:rPr>
        <w:t>财务专员，</w:t>
      </w:r>
      <w:r w:rsidR="00E35F59">
        <w:rPr>
          <w:rFonts w:hint="eastAsia"/>
          <w:color w:val="000000" w:themeColor="text1"/>
        </w:rPr>
        <w:t>在收费大区收费经理发</w:t>
      </w:r>
      <w:r w:rsidR="00E35F59">
        <w:rPr>
          <w:rFonts w:hint="eastAsia"/>
        </w:rPr>
        <w:t>《</w:t>
      </w:r>
      <w:r w:rsidR="00E35F59" w:rsidRPr="00C95CF5">
        <w:rPr>
          <w:rFonts w:hint="eastAsia"/>
        </w:rPr>
        <w:t>押金余额核对模板</w:t>
      </w:r>
      <w:r w:rsidR="00E35F59">
        <w:rPr>
          <w:rFonts w:hint="eastAsia"/>
        </w:rPr>
        <w:t>》后，在EAS查科目余额表</w:t>
      </w:r>
      <w:r>
        <w:rPr>
          <w:rFonts w:hint="eastAsia"/>
        </w:rPr>
        <w:t>和收费云未退余额进行核对（有台账项目三者相同）</w:t>
      </w:r>
      <w:r w:rsidR="0024772E">
        <w:rPr>
          <w:rFonts w:hint="eastAsia"/>
        </w:rPr>
        <w:t>。</w:t>
      </w:r>
    </w:p>
    <w:p w:rsidR="002C79D5" w:rsidRPr="000C3E82" w:rsidRDefault="002C79D5" w:rsidP="00FF7EC9"/>
    <w:p w:rsidR="00023BA0" w:rsidRDefault="000C3E82" w:rsidP="00023BA0">
      <w:pPr>
        <w:pStyle w:val="1"/>
        <w:numPr>
          <w:ilvl w:val="0"/>
          <w:numId w:val="1"/>
        </w:numPr>
      </w:pPr>
      <w:r>
        <w:rPr>
          <w:rFonts w:hint="eastAsia"/>
        </w:rPr>
        <w:t>第三步：差异处理</w:t>
      </w:r>
    </w:p>
    <w:p w:rsidR="00023BA0" w:rsidRDefault="0048792F" w:rsidP="0048792F">
      <w:pPr>
        <w:pStyle w:val="3"/>
        <w:numPr>
          <w:ilvl w:val="2"/>
          <w:numId w:val="1"/>
        </w:numPr>
        <w:spacing w:before="156" w:after="156"/>
        <w:ind w:left="0" w:firstLine="0"/>
      </w:pPr>
      <w:r>
        <w:rPr>
          <w:rFonts w:hint="eastAsia"/>
        </w:rPr>
        <w:t>收费云比</w:t>
      </w:r>
      <w:r>
        <w:rPr>
          <w:rFonts w:hint="eastAsia"/>
        </w:rPr>
        <w:t>EAS</w:t>
      </w:r>
      <w:r>
        <w:rPr>
          <w:rFonts w:hint="eastAsia"/>
        </w:rPr>
        <w:t>多，且收费云准确（账台）</w:t>
      </w:r>
    </w:p>
    <w:p w:rsidR="00A87711" w:rsidRDefault="00A87711" w:rsidP="00A8771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收费云和EAS账面不一致，收费云比EAS账面少，</w:t>
      </w:r>
    </w:p>
    <w:p w:rsidR="00A87711" w:rsidRDefault="00A87711" w:rsidP="00A87711">
      <w:pPr>
        <w:pStyle w:val="a3"/>
        <w:ind w:left="420" w:firstLineChars="0" w:firstLine="0"/>
      </w:pPr>
      <w:r>
        <w:rPr>
          <w:rFonts w:hint="eastAsia"/>
        </w:rPr>
        <w:t>处理方案：发OA流程</w:t>
      </w:r>
      <w:r w:rsidR="00052242">
        <w:rPr>
          <w:rFonts w:hint="eastAsia"/>
        </w:rPr>
        <w:t>在收费云做</w:t>
      </w:r>
      <w:r>
        <w:rPr>
          <w:rFonts w:hint="eastAsia"/>
        </w:rPr>
        <w:t>押金导入</w:t>
      </w:r>
    </w:p>
    <w:p w:rsidR="00023BA0" w:rsidRDefault="008510D0" w:rsidP="008510D0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收费云和EAS账面不一致，收费云比EAS账面多，且收费云正确，</w:t>
      </w:r>
    </w:p>
    <w:p w:rsidR="008510D0" w:rsidRDefault="008510D0" w:rsidP="00A87711">
      <w:pPr>
        <w:ind w:firstLineChars="200" w:firstLine="420"/>
      </w:pPr>
      <w:r>
        <w:rPr>
          <w:rFonts w:hint="eastAsia"/>
        </w:rPr>
        <w:t>处理方案：发OA调账流程做调账处理</w:t>
      </w:r>
    </w:p>
    <w:p w:rsidR="00052242" w:rsidRDefault="00052242" w:rsidP="0005224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收费云和EAS账面不一致，收费云比EAS账面多，</w:t>
      </w:r>
      <w:r w:rsidR="007A0ADD">
        <w:rPr>
          <w:rFonts w:hint="eastAsia"/>
        </w:rPr>
        <w:t>且收费云正确</w:t>
      </w:r>
    </w:p>
    <w:p w:rsidR="00023BA0" w:rsidRDefault="00052242" w:rsidP="00052242">
      <w:pPr>
        <w:pStyle w:val="a3"/>
        <w:ind w:left="420" w:firstLineChars="0" w:firstLine="0"/>
      </w:pPr>
      <w:r>
        <w:rPr>
          <w:rFonts w:hint="eastAsia"/>
        </w:rPr>
        <w:t>处理方案：发OA调账流程做调账处理</w:t>
      </w:r>
    </w:p>
    <w:p w:rsidR="007A0ADD" w:rsidRDefault="007A0ADD" w:rsidP="007A0ADD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收费云和EAS账面不一致，收费云比EAS账面多，有未退押金未录入</w:t>
      </w:r>
    </w:p>
    <w:p w:rsidR="007A0ADD" w:rsidRPr="00052242" w:rsidRDefault="007A0ADD" w:rsidP="007A0ADD">
      <w:pPr>
        <w:pStyle w:val="a3"/>
        <w:ind w:left="420" w:firstLineChars="0" w:firstLine="0"/>
      </w:pPr>
      <w:r>
        <w:rPr>
          <w:rFonts w:hint="eastAsia"/>
        </w:rPr>
        <w:t>处理方案：信息中心导出押金经项目确认，信息中心修改状态</w:t>
      </w:r>
    </w:p>
    <w:p w:rsidR="007A0ADD" w:rsidRPr="007A0ADD" w:rsidRDefault="007A0ADD" w:rsidP="00052242">
      <w:pPr>
        <w:pStyle w:val="a3"/>
        <w:ind w:left="420" w:firstLineChars="0" w:firstLine="0"/>
      </w:pPr>
    </w:p>
    <w:p w:rsidR="00ED79F8" w:rsidRDefault="00A87711" w:rsidP="0048792F">
      <w:pPr>
        <w:pStyle w:val="3"/>
        <w:numPr>
          <w:ilvl w:val="2"/>
          <w:numId w:val="1"/>
        </w:numPr>
        <w:spacing w:before="156" w:after="156"/>
        <w:ind w:left="0" w:firstLine="0"/>
      </w:pPr>
      <w:r>
        <w:rPr>
          <w:rFonts w:hint="eastAsia"/>
        </w:rPr>
        <w:t>历史数据</w:t>
      </w:r>
      <w:r w:rsidR="0048792F" w:rsidRPr="00ED79F8">
        <w:rPr>
          <w:rFonts w:hint="eastAsia"/>
        </w:rPr>
        <w:t xml:space="preserve"> </w:t>
      </w:r>
    </w:p>
    <w:p w:rsidR="007A0ADD" w:rsidRDefault="00052242" w:rsidP="00052242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撤场项目EAS已做</w:t>
      </w:r>
      <w:r w:rsidR="007A0ADD">
        <w:rPr>
          <w:rFonts w:hint="eastAsia"/>
        </w:rPr>
        <w:t>清算收费</w:t>
      </w:r>
      <w:r w:rsidR="00785C32">
        <w:rPr>
          <w:rFonts w:hint="eastAsia"/>
        </w:rPr>
        <w:t>云</w:t>
      </w:r>
      <w:r w:rsidR="007A0ADD">
        <w:rPr>
          <w:rFonts w:hint="eastAsia"/>
        </w:rPr>
        <w:t>押金余额为0</w:t>
      </w:r>
      <w:r w:rsidR="007A0ADD">
        <w:t>.</w:t>
      </w:r>
    </w:p>
    <w:p w:rsidR="00052242" w:rsidRDefault="007A0ADD" w:rsidP="00052242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对于不能分清历史数据，以2</w:t>
      </w:r>
      <w:r>
        <w:t>016</w:t>
      </w:r>
      <w:r>
        <w:rPr>
          <w:rFonts w:hint="eastAsia"/>
        </w:rPr>
        <w:t>年上线收费云为准</w:t>
      </w:r>
      <w:r w:rsidR="00785C32">
        <w:rPr>
          <w:rFonts w:hint="eastAsia"/>
        </w:rPr>
        <w:t>，在此</w:t>
      </w:r>
      <w:r>
        <w:rPr>
          <w:rFonts w:hint="eastAsia"/>
        </w:rPr>
        <w:t>后</w:t>
      </w:r>
      <w:r w:rsidR="00785C32">
        <w:rPr>
          <w:rFonts w:hint="eastAsia"/>
        </w:rPr>
        <w:t>押金</w:t>
      </w:r>
      <w:r>
        <w:rPr>
          <w:rFonts w:hint="eastAsia"/>
        </w:rPr>
        <w:t>数据必须</w:t>
      </w:r>
      <w:r w:rsidR="00785C32">
        <w:rPr>
          <w:rFonts w:hint="eastAsia"/>
        </w:rPr>
        <w:t>一致。</w:t>
      </w:r>
    </w:p>
    <w:p w:rsidR="00052242" w:rsidRPr="00052242" w:rsidRDefault="00052242" w:rsidP="00052242"/>
    <w:sectPr w:rsidR="00052242" w:rsidRPr="00052242" w:rsidSect="00B9266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34254"/>
    <w:multiLevelType w:val="hybridMultilevel"/>
    <w:tmpl w:val="A0CC3C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F646A2"/>
    <w:multiLevelType w:val="multilevel"/>
    <w:tmpl w:val="48F646A2"/>
    <w:lvl w:ilvl="0">
      <w:start w:val="1"/>
      <w:numFmt w:val="decimal"/>
      <w:lvlText w:val="%1.0  "/>
      <w:lvlJc w:val="left"/>
      <w:pPr>
        <w:ind w:left="0" w:firstLine="0"/>
      </w:pPr>
      <w:rPr>
        <w:rFonts w:ascii="黑体" w:eastAsia="黑体" w:hAnsi="黑体" w:hint="eastAsia"/>
        <w:b/>
      </w:rPr>
    </w:lvl>
    <w:lvl w:ilvl="1">
      <w:start w:val="1"/>
      <w:numFmt w:val="decimal"/>
      <w:lvlText w:val="%1.%2  "/>
      <w:lvlJc w:val="left"/>
      <w:pPr>
        <w:ind w:left="3574" w:hanging="1021"/>
      </w:pPr>
      <w:rPr>
        <w:rFonts w:ascii="黑体" w:eastAsia="黑体" w:hAnsi="黑体" w:hint="eastAsia"/>
        <w:b/>
        <w:color w:val="auto"/>
      </w:rPr>
    </w:lvl>
    <w:lvl w:ilvl="2">
      <w:start w:val="1"/>
      <w:numFmt w:val="decimal"/>
      <w:lvlText w:val="%1.%2.%3  "/>
      <w:lvlJc w:val="left"/>
      <w:pPr>
        <w:ind w:left="1701" w:hanging="1701"/>
      </w:pPr>
      <w:rPr>
        <w:rFonts w:ascii="黑体" w:eastAsia="黑体" w:hAnsi="黑体" w:hint="eastAsia"/>
        <w:b/>
        <w:i w:val="0"/>
        <w:sz w:val="28"/>
      </w:rPr>
    </w:lvl>
    <w:lvl w:ilvl="3">
      <w:start w:val="1"/>
      <w:numFmt w:val="decimal"/>
      <w:lvlText w:val="%1.%2.%3.%4 "/>
      <w:lvlJc w:val="left"/>
      <w:pPr>
        <w:ind w:left="1758" w:hanging="1758"/>
      </w:pPr>
      <w:rPr>
        <w:rFonts w:ascii="黑体" w:eastAsia="黑体" w:hAnsi="黑体" w:hint="eastAsia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4B8F7F42"/>
    <w:multiLevelType w:val="hybridMultilevel"/>
    <w:tmpl w:val="A0CC3C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675776"/>
    <w:multiLevelType w:val="hybridMultilevel"/>
    <w:tmpl w:val="A0CC3C5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92"/>
    <w:rsid w:val="00005DE7"/>
    <w:rsid w:val="00023BA0"/>
    <w:rsid w:val="00052242"/>
    <w:rsid w:val="000C3E82"/>
    <w:rsid w:val="0024772E"/>
    <w:rsid w:val="002C79D5"/>
    <w:rsid w:val="0048792F"/>
    <w:rsid w:val="004A1592"/>
    <w:rsid w:val="00785C32"/>
    <w:rsid w:val="007A0ADD"/>
    <w:rsid w:val="007D2621"/>
    <w:rsid w:val="008510D0"/>
    <w:rsid w:val="00952529"/>
    <w:rsid w:val="00A073DB"/>
    <w:rsid w:val="00A87711"/>
    <w:rsid w:val="00B9266E"/>
    <w:rsid w:val="00C208BD"/>
    <w:rsid w:val="00C95CF5"/>
    <w:rsid w:val="00CF53F5"/>
    <w:rsid w:val="00DD23DC"/>
    <w:rsid w:val="00E22F09"/>
    <w:rsid w:val="00E35F59"/>
    <w:rsid w:val="00ED79F8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E5D154D-9EEB-C646-B788-EE708B9B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592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D79F8"/>
    <w:pPr>
      <w:keepNext/>
      <w:keepLines/>
      <w:spacing w:after="120" w:line="520" w:lineRule="exact"/>
      <w:jc w:val="left"/>
      <w:outlineLvl w:val="0"/>
    </w:pPr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D79F8"/>
    <w:pPr>
      <w:keepNext/>
      <w:keepLines/>
      <w:spacing w:before="120" w:after="120" w:line="520" w:lineRule="exact"/>
      <w:outlineLvl w:val="1"/>
    </w:pPr>
    <w:rPr>
      <w:rFonts w:ascii="Calibri Light" w:eastAsia="黑体" w:hAnsi="Calibri Light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D79F8"/>
    <w:pPr>
      <w:keepNext/>
      <w:keepLines/>
      <w:spacing w:beforeLines="50" w:afterLines="50" w:line="520" w:lineRule="exact"/>
      <w:outlineLvl w:val="2"/>
    </w:pPr>
    <w:rPr>
      <w:rFonts w:ascii="Calibri" w:eastAsia="黑体" w:hAnsi="Calibri" w:cs="Times New Roman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D79F8"/>
    <w:pPr>
      <w:keepNext/>
      <w:keepLines/>
      <w:spacing w:line="520" w:lineRule="exact"/>
      <w:outlineLvl w:val="3"/>
    </w:pPr>
    <w:rPr>
      <w:rFonts w:ascii="Calibri Light" w:eastAsia="黑体" w:hAnsi="Calibri Light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ED79F8"/>
    <w:rPr>
      <w:rFonts w:ascii="Calibri" w:eastAsia="黑体" w:hAnsi="Calibri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D79F8"/>
    <w:rPr>
      <w:rFonts w:ascii="Calibri Light" w:eastAsia="黑体" w:hAnsi="Calibri Light" w:cs="Times New Roman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sid w:val="00ED79F8"/>
    <w:rPr>
      <w:rFonts w:ascii="Calibri" w:eastAsia="黑体" w:hAnsi="Calibri" w:cs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sid w:val="00ED79F8"/>
    <w:rPr>
      <w:rFonts w:ascii="Calibri Light" w:eastAsia="黑体" w:hAnsi="Calibri Light" w:cs="Times New Roman"/>
      <w:b/>
      <w:bCs/>
      <w:sz w:val="24"/>
      <w:szCs w:val="28"/>
    </w:rPr>
  </w:style>
  <w:style w:type="paragraph" w:styleId="a3">
    <w:name w:val="List Paragraph"/>
    <w:basedOn w:val="a"/>
    <w:uiPriority w:val="34"/>
    <w:qFormat/>
    <w:rsid w:val="00C95CF5"/>
    <w:pPr>
      <w:ind w:firstLineChars="200" w:firstLine="420"/>
    </w:pPr>
  </w:style>
  <w:style w:type="table" w:styleId="a4">
    <w:name w:val="Table Grid"/>
    <w:basedOn w:val="a1"/>
    <w:uiPriority w:val="39"/>
    <w:rsid w:val="00E2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2020-02-07T12:29:00Z</dcterms:created>
  <dcterms:modified xsi:type="dcterms:W3CDTF">2020-02-07T12:29:00Z</dcterms:modified>
</cp:coreProperties>
</file>